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df1d308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694"/>
        <w:gridCol w:w="8465"/>
      </w:tblGrid>
      <w:tr w:rsidR="00A76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1700" w:type="dxa"/>
          </w:tcPr>
          <w:p w:rsidR="00A760D4" w:rsidRDefault="00A760D4">
            <w:pPr>
              <w:pStyle w:val="leftaligned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76.5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  <w:tc>
          <w:tcPr>
            <w:tcW w:w="8503" w:type="dxa"/>
          </w:tcPr>
          <w:p w:rsidR="00A760D4" w:rsidRDefault="00A760D4">
            <w:pPr>
              <w:pStyle w:val="rightaligned"/>
            </w:pPr>
            <w:r>
              <w:pict>
                <v:shape id="_x0000_i1026" type="#_x0000_t75" style="width:127.5pt;height:33.75pt;mso-position-horizontal:left;mso-position-horizontal-relative:char;mso-position-vertical:top;mso-position-vertical-relative:line">
                  <v:imagedata r:id="rId6" o:title=""/>
                </v:shape>
              </w:pict>
            </w:r>
          </w:p>
        </w:tc>
      </w:tr>
    </w:tbl>
    <w:p w:rsidR="00A760D4" w:rsidRDefault="006E00B4">
      <w:r>
        <w:rPr>
          <w:b/>
          <w:bCs/>
        </w:rPr>
        <w:t>РЕПУБЛИКА СРБИЈА</w:t>
      </w:r>
    </w:p>
    <w:p w:rsidR="00A760D4" w:rsidRDefault="006E00B4">
      <w:r>
        <w:rPr>
          <w:b/>
          <w:bCs/>
        </w:rPr>
        <w:t>ЈАВНИ ИЗВРШИТЕЉ ДР ЖАРКО ДИМИТРИЈЕВИЋ</w:t>
      </w:r>
    </w:p>
    <w:p w:rsidR="00A760D4" w:rsidRDefault="006E00B4">
      <w:proofErr w:type="spellStart"/>
      <w:r>
        <w:rPr>
          <w:b/>
          <w:bCs/>
        </w:rPr>
        <w:t>Ниш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Мачванска</w:t>
      </w:r>
      <w:proofErr w:type="spellEnd"/>
      <w:r>
        <w:rPr>
          <w:b/>
          <w:bCs/>
        </w:rPr>
        <w:t xml:space="preserve"> 1</w:t>
      </w:r>
    </w:p>
    <w:p w:rsidR="00A760D4" w:rsidRDefault="006E00B4">
      <w:proofErr w:type="spellStart"/>
      <w:r>
        <w:rPr>
          <w:b/>
          <w:bCs/>
        </w:rPr>
        <w:t>Пословни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>: ИИ 1577/17</w:t>
      </w:r>
    </w:p>
    <w:p w:rsidR="00A760D4" w:rsidRDefault="006E00B4">
      <w:proofErr w:type="spellStart"/>
      <w:proofErr w:type="gram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04.04.2023.</w:t>
      </w:r>
      <w:proofErr w:type="gram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године</w:t>
      </w:r>
      <w:proofErr w:type="spellEnd"/>
      <w:proofErr w:type="gramEnd"/>
    </w:p>
    <w:p w:rsidR="00A760D4" w:rsidRDefault="00A760D4"/>
    <w:p w:rsidR="00864DA1" w:rsidRPr="00D22298" w:rsidRDefault="00864DA1" w:rsidP="00864DA1">
      <w:pPr>
        <w:pStyle w:val="pStyle2"/>
        <w:rPr>
          <w:sz w:val="24"/>
          <w:szCs w:val="24"/>
        </w:rPr>
      </w:pPr>
      <w:r w:rsidRPr="00D22298">
        <w:rPr>
          <w:sz w:val="24"/>
          <w:szCs w:val="24"/>
        </w:rPr>
        <w:t xml:space="preserve">ЈАВНИ ИЗВРШИТЕЉ др Жарко Димитријевић, у извршном предмету </w:t>
      </w:r>
    </w:p>
    <w:p w:rsidR="00864DA1" w:rsidRPr="00D22298" w:rsidRDefault="00864DA1" w:rsidP="00864DA1">
      <w:pPr>
        <w:pStyle w:val="pStyle2"/>
        <w:rPr>
          <w:sz w:val="24"/>
          <w:szCs w:val="24"/>
        </w:rPr>
      </w:pPr>
      <w:r w:rsidRPr="00D22298">
        <w:rPr>
          <w:b/>
          <w:sz w:val="24"/>
          <w:szCs w:val="24"/>
        </w:rPr>
        <w:t xml:space="preserve">Извршног повериоца: АГРОИНДУСТРИЈСКО КОМЕРЦИЈАЛНА БАНКА АИК БАНКА АКЦИОНАРСКО ДРУШТВО БЕОГРАД, Београд - Нови Београд, ул. БУЛЕВАР МИХАИЛА ПУПИНА бр. 115Ђ, МБ 06876366, ПИБ 100618836, број рачуна 105-06-11 који се води код банке АГРОИНДУСТРИЈСКО КОМЕРЦИЈАЛНА БАНКА "АИК БАНКА" А.Д. БЕОГРАД, број рачуна 908-10501-97 који се води код банке АГРОИНДУСТРИЈСКО КОМЕРЦИЈАЛНА БАНКА "АИК БАНКА" А.Д. БЕОГРАД, број рачуна 105-04-17 који се води код банке АГРОИНДУСТРИЈСКО КОМЕРЦИЈАЛНА БАНКА "АИК БАНКА" А.Д. БЕОГРАД, </w:t>
      </w:r>
      <w:r w:rsidRPr="00D22298">
        <w:rPr>
          <w:sz w:val="24"/>
          <w:szCs w:val="24"/>
        </w:rPr>
        <w:t>кога заступају Татјана Марковић, виши стручни сарадник, запослен у АИК БАНКА, Јаника Дрљевић, виши стручни с</w:t>
      </w:r>
      <w:r>
        <w:rPr>
          <w:sz w:val="24"/>
          <w:szCs w:val="24"/>
        </w:rPr>
        <w:t xml:space="preserve">арадник, запослен у АИК БАНКА, </w:t>
      </w:r>
      <w:r w:rsidRPr="00D22298">
        <w:rPr>
          <w:sz w:val="24"/>
          <w:szCs w:val="24"/>
        </w:rPr>
        <w:t xml:space="preserve">по пуномоћју у списима предмета против </w:t>
      </w:r>
    </w:p>
    <w:p w:rsidR="00864DA1" w:rsidRDefault="00864DA1" w:rsidP="00864DA1">
      <w:pPr>
        <w:pStyle w:val="pStyle2"/>
        <w:rPr>
          <w:sz w:val="24"/>
          <w:szCs w:val="24"/>
        </w:rPr>
      </w:pPr>
      <w:r w:rsidRPr="00D22298">
        <w:rPr>
          <w:b/>
          <w:sz w:val="24"/>
          <w:szCs w:val="24"/>
        </w:rPr>
        <w:t xml:space="preserve">Извршног дужника: Јелена Буковец, Марибор, ул. Рушка Цеста бр. 13, Словенија, ЈМБГ 1905960735060, </w:t>
      </w:r>
      <w:r w:rsidRPr="00D22298">
        <w:rPr>
          <w:sz w:val="24"/>
          <w:szCs w:val="24"/>
        </w:rPr>
        <w:t xml:space="preserve">кога заступа привремени заступник Стефан Ђорђевић, Ниш, Орловића Павла 10,  по пуномоћју у списима предмета </w:t>
      </w:r>
      <w:r w:rsidRPr="00D22298">
        <w:rPr>
          <w:b/>
          <w:sz w:val="24"/>
          <w:szCs w:val="24"/>
        </w:rPr>
        <w:t xml:space="preserve">Слађана Јовановић, Бојник, ул. Бојана Тасића бр. 1, ЈМБГ 1204961746017, ИД (30 П бр. 6074/12) </w:t>
      </w:r>
      <w:r w:rsidRPr="00D22298">
        <w:rPr>
          <w:sz w:val="24"/>
          <w:szCs w:val="24"/>
        </w:rPr>
        <w:t xml:space="preserve">ради спровођења извршења одређеног Решењем о извршењу Основног суда у Нишу 6ИИ-7117/2017 од 16.08.2017. године, </w:t>
      </w:r>
      <w:r>
        <w:rPr>
          <w:sz w:val="24"/>
          <w:szCs w:val="24"/>
        </w:rPr>
        <w:t>у складу са члановима 151., 171., 172., 173., 174., 175., 177., 178. и 192. ЗИО („Сл. гласник РС“, бр. 106/2015 и 106/2016- аутентично тумачење), доноси дана 04.04.2023. године следећи:</w:t>
      </w:r>
    </w:p>
    <w:p w:rsidR="00864DA1" w:rsidRDefault="00864DA1" w:rsidP="00864DA1">
      <w:pPr>
        <w:pStyle w:val="pStyle2"/>
        <w:rPr>
          <w:sz w:val="24"/>
          <w:szCs w:val="24"/>
        </w:rPr>
      </w:pPr>
    </w:p>
    <w:p w:rsidR="00864DA1" w:rsidRDefault="00864DA1" w:rsidP="00864DA1">
      <w:pPr>
        <w:widowControl w:val="0"/>
        <w:suppressAutoHyphens/>
        <w:jc w:val="center"/>
        <w:rPr>
          <w:rFonts w:eastAsia="Lucida Sans Unicode"/>
          <w:b/>
          <w:bCs/>
          <w:lang w:eastAsia="sr-Latn-CS"/>
        </w:rPr>
      </w:pPr>
      <w:r>
        <w:rPr>
          <w:rFonts w:eastAsia="Lucida Sans Unicode"/>
          <w:b/>
          <w:bCs/>
          <w:lang w:eastAsia="sr-Latn-CS"/>
        </w:rPr>
        <w:t>ЗАКЉУЧАК</w:t>
      </w:r>
    </w:p>
    <w:p w:rsidR="00864DA1" w:rsidRDefault="00864DA1" w:rsidP="00864DA1">
      <w:pPr>
        <w:widowControl w:val="0"/>
        <w:suppressAutoHyphens/>
        <w:jc w:val="both"/>
        <w:rPr>
          <w:rFonts w:eastAsia="Lucida Sans Unicode"/>
          <w:lang w:eastAsia="sr-Latn-CS"/>
        </w:rPr>
      </w:pPr>
      <w:r>
        <w:rPr>
          <w:rFonts w:eastAsia="Lucida Sans Unicode"/>
          <w:lang w:eastAsia="sr-Latn-CS"/>
        </w:rPr>
        <w:tab/>
      </w:r>
      <w:r>
        <w:rPr>
          <w:rFonts w:eastAsia="Lucida Sans Unicode"/>
          <w:lang w:eastAsia="sr-Latn-CS"/>
        </w:rPr>
        <w:tab/>
        <w:t>I</w:t>
      </w:r>
    </w:p>
    <w:p w:rsidR="00864DA1" w:rsidRDefault="00864DA1" w:rsidP="00864DA1">
      <w:pPr>
        <w:widowControl w:val="0"/>
        <w:suppressAutoHyphens/>
        <w:ind w:firstLine="708"/>
        <w:jc w:val="both"/>
        <w:rPr>
          <w:rFonts w:eastAsia="Lucida Sans Unicode"/>
          <w:lang w:eastAsia="sr-Latn-CS"/>
        </w:rPr>
      </w:pPr>
    </w:p>
    <w:p w:rsidR="00864DA1" w:rsidRDefault="00864DA1" w:rsidP="00864DA1">
      <w:pPr>
        <w:widowControl w:val="0"/>
        <w:suppressAutoHyphens/>
        <w:ind w:firstLine="708"/>
        <w:jc w:val="both"/>
        <w:rPr>
          <w:rFonts w:eastAsia="Lucida Sans Unicode"/>
          <w:lang w:eastAsia="sr-Latn-CS"/>
        </w:rPr>
      </w:pPr>
      <w:proofErr w:type="spellStart"/>
      <w:proofErr w:type="gramStart"/>
      <w:r>
        <w:rPr>
          <w:rFonts w:eastAsia="Lucida Sans Unicode"/>
          <w:lang w:eastAsia="sr-Latn-CS"/>
        </w:rPr>
        <w:t>Одређује</w:t>
      </w:r>
      <w:proofErr w:type="spellEnd"/>
      <w:r>
        <w:rPr>
          <w:rFonts w:eastAsia="Lucida Sans Unicode"/>
          <w:lang w:eastAsia="sr-Latn-CS"/>
        </w:rPr>
        <w:t xml:space="preserve"> </w:t>
      </w:r>
      <w:proofErr w:type="spellStart"/>
      <w:r>
        <w:rPr>
          <w:rFonts w:eastAsia="Lucida Sans Unicode"/>
          <w:lang w:eastAsia="sr-Latn-CS"/>
        </w:rPr>
        <w:t>се</w:t>
      </w:r>
      <w:proofErr w:type="spellEnd"/>
      <w:r>
        <w:rPr>
          <w:rFonts w:eastAsia="Lucida Sans Unicode"/>
          <w:lang w:eastAsia="sr-Latn-CS"/>
        </w:rPr>
        <w:t xml:space="preserve"> </w:t>
      </w:r>
      <w:r>
        <w:rPr>
          <w:rFonts w:eastAsia="Lucida Sans Unicode"/>
          <w:b/>
          <w:bCs/>
          <w:lang w:eastAsia="sr-Latn-CS"/>
        </w:rPr>
        <w:t>ПРВА ЈАВНА ПРОДАЈА</w:t>
      </w:r>
      <w:r>
        <w:rPr>
          <w:rFonts w:eastAsia="Lucida Sans Unicode"/>
          <w:lang w:eastAsia="sr-Latn-CS"/>
        </w:rPr>
        <w:t xml:space="preserve"> </w:t>
      </w:r>
      <w:proofErr w:type="spellStart"/>
      <w:r>
        <w:rPr>
          <w:rFonts w:eastAsia="Lucida Sans Unicode"/>
          <w:lang w:eastAsia="sr-Latn-CS"/>
        </w:rPr>
        <w:t>непокретности</w:t>
      </w:r>
      <w:proofErr w:type="spellEnd"/>
      <w:r>
        <w:rPr>
          <w:rFonts w:eastAsia="Lucida Sans Unicode"/>
          <w:lang w:eastAsia="sr-Latn-CS"/>
        </w:rPr>
        <w:t xml:space="preserve"> </w:t>
      </w:r>
      <w:proofErr w:type="spellStart"/>
      <w:r>
        <w:rPr>
          <w:rFonts w:eastAsia="Lucida Sans Unicode"/>
          <w:lang w:eastAsia="sr-Latn-CS"/>
        </w:rPr>
        <w:t>извршног</w:t>
      </w:r>
      <w:proofErr w:type="spellEnd"/>
      <w:r>
        <w:rPr>
          <w:rFonts w:eastAsia="Lucida Sans Unicode"/>
          <w:lang w:eastAsia="sr-Latn-CS"/>
        </w:rPr>
        <w:t xml:space="preserve"> </w:t>
      </w:r>
      <w:proofErr w:type="spellStart"/>
      <w:r>
        <w:rPr>
          <w:rFonts w:eastAsia="Lucida Sans Unicode"/>
          <w:lang w:eastAsia="sr-Latn-CS"/>
        </w:rPr>
        <w:t>дужника</w:t>
      </w:r>
      <w:proofErr w:type="spellEnd"/>
      <w:r>
        <w:rPr>
          <w:rFonts w:eastAsia="Lucida Sans Unicode"/>
          <w:lang w:eastAsia="sr-Latn-CS"/>
        </w:rPr>
        <w:t xml:space="preserve">, </w:t>
      </w:r>
      <w:proofErr w:type="spellStart"/>
      <w:r>
        <w:rPr>
          <w:rFonts w:eastAsia="Lucida Sans Unicode"/>
          <w:lang w:eastAsia="sr-Latn-CS"/>
        </w:rPr>
        <w:t>процењена</w:t>
      </w:r>
      <w:proofErr w:type="spellEnd"/>
      <w:r>
        <w:rPr>
          <w:rFonts w:eastAsia="Lucida Sans Unicode"/>
          <w:lang w:eastAsia="sr-Latn-CS"/>
        </w:rPr>
        <w:t xml:space="preserve"> </w:t>
      </w:r>
      <w:proofErr w:type="spellStart"/>
      <w:r>
        <w:rPr>
          <w:rFonts w:eastAsia="Lucida Sans Unicode"/>
          <w:lang w:eastAsia="sr-Latn-CS"/>
        </w:rPr>
        <w:t>дана</w:t>
      </w:r>
      <w:proofErr w:type="spellEnd"/>
      <w:r>
        <w:rPr>
          <w:rFonts w:eastAsia="Lucida Sans Unicode"/>
          <w:lang w:eastAsia="sr-Latn-CS"/>
        </w:rPr>
        <w:t xml:space="preserve"> 30.08.2021.</w:t>
      </w:r>
      <w:proofErr w:type="gramEnd"/>
      <w:r>
        <w:rPr>
          <w:rFonts w:eastAsia="Lucida Sans Unicode"/>
          <w:lang w:eastAsia="sr-Latn-CS"/>
        </w:rPr>
        <w:t xml:space="preserve"> </w:t>
      </w:r>
      <w:proofErr w:type="spellStart"/>
      <w:proofErr w:type="gramStart"/>
      <w:r>
        <w:rPr>
          <w:rFonts w:eastAsia="Lucida Sans Unicode"/>
          <w:lang w:eastAsia="sr-Latn-CS"/>
        </w:rPr>
        <w:t>године</w:t>
      </w:r>
      <w:proofErr w:type="spellEnd"/>
      <w:proofErr w:type="gramEnd"/>
      <w:r>
        <w:rPr>
          <w:rFonts w:eastAsia="Lucida Sans Unicode"/>
          <w:lang w:eastAsia="sr-Latn-CS"/>
        </w:rPr>
        <w:t xml:space="preserve">, и </w:t>
      </w:r>
      <w:proofErr w:type="spellStart"/>
      <w:r>
        <w:rPr>
          <w:rFonts w:eastAsia="Lucida Sans Unicode"/>
          <w:lang w:eastAsia="sr-Latn-CS"/>
        </w:rPr>
        <w:t>то</w:t>
      </w:r>
      <w:proofErr w:type="spellEnd"/>
      <w:r>
        <w:rPr>
          <w:rFonts w:eastAsia="Lucida Sans Unicode"/>
          <w:lang w:eastAsia="sr-Latn-CS"/>
        </w:rPr>
        <w:t>:</w:t>
      </w:r>
    </w:p>
    <w:p w:rsidR="00864DA1" w:rsidRDefault="00864DA1" w:rsidP="00864DA1">
      <w:pPr>
        <w:widowControl w:val="0"/>
        <w:suppressAutoHyphens/>
        <w:ind w:firstLine="708"/>
        <w:jc w:val="both"/>
        <w:rPr>
          <w:rFonts w:eastAsia="Lucida Sans Unicode"/>
          <w:lang w:eastAsia="sr-Latn-CS"/>
        </w:rPr>
      </w:pPr>
    </w:p>
    <w:p w:rsidR="00864DA1" w:rsidRPr="00A91098" w:rsidRDefault="00864DA1" w:rsidP="00864DA1">
      <w:pPr>
        <w:pStyle w:val="pStyle2"/>
        <w:numPr>
          <w:ilvl w:val="0"/>
          <w:numId w:val="5"/>
        </w:numPr>
        <w:spacing w:line="240" w:lineRule="auto"/>
        <w:rPr>
          <w:sz w:val="24"/>
          <w:szCs w:val="24"/>
          <w:lang/>
        </w:rPr>
      </w:pPr>
      <w:r w:rsidRPr="00A91098">
        <w:rPr>
          <w:sz w:val="24"/>
          <w:szCs w:val="24"/>
          <w:lang/>
        </w:rPr>
        <w:t xml:space="preserve">Породична стамбена зграда, спратности ПР 1, укупне површине 56 </w:t>
      </w:r>
      <w:r w:rsidRPr="00A91098">
        <w:rPr>
          <w:sz w:val="24"/>
          <w:szCs w:val="24"/>
          <w:lang w:val="en-US"/>
        </w:rPr>
        <w:t>m</w:t>
      </w:r>
      <w:r w:rsidRPr="00A91098">
        <w:rPr>
          <w:sz w:val="24"/>
          <w:szCs w:val="24"/>
          <w:vertAlign w:val="superscript"/>
          <w:lang w:val="en-US"/>
        </w:rPr>
        <w:t>2</w:t>
      </w:r>
      <w:r w:rsidRPr="00A91098">
        <w:rPr>
          <w:sz w:val="24"/>
          <w:szCs w:val="24"/>
          <w:lang w:val="en-US"/>
        </w:rPr>
        <w:t>,</w:t>
      </w:r>
      <w:r w:rsidRPr="00A91098">
        <w:rPr>
          <w:sz w:val="24"/>
          <w:szCs w:val="24"/>
          <w:lang/>
        </w:rPr>
        <w:t xml:space="preserve"> површине према налазу стручног лица: 44,80 </w:t>
      </w:r>
      <w:r w:rsidRPr="00A91098">
        <w:rPr>
          <w:sz w:val="24"/>
          <w:szCs w:val="24"/>
          <w:lang w:val="en-US"/>
        </w:rPr>
        <w:t>m</w:t>
      </w:r>
      <w:r w:rsidRPr="00A91098">
        <w:rPr>
          <w:sz w:val="24"/>
          <w:szCs w:val="24"/>
          <w:vertAlign w:val="superscript"/>
          <w:lang w:val="en-US"/>
        </w:rPr>
        <w:t>2</w:t>
      </w:r>
      <w:r w:rsidRPr="00A91098">
        <w:rPr>
          <w:sz w:val="24"/>
          <w:szCs w:val="24"/>
          <w:lang/>
        </w:rPr>
        <w:t xml:space="preserve">  означене као објекат изграђен без одобрења за градњу, која се налази у улици Змаја од ноћаја 52/Б, на катастарској парцели 6310, са обимом удела 1/1, са правом коришћења земљишта под зградом са обимом удела 254/404, све уписано у ЛН 6892, КО</w:t>
      </w:r>
      <w:r w:rsidRPr="00A91098">
        <w:rPr>
          <w:sz w:val="24"/>
          <w:szCs w:val="24"/>
          <w:lang w:val="en-US"/>
        </w:rPr>
        <w:t xml:space="preserve"> </w:t>
      </w:r>
      <w:r w:rsidRPr="00A91098">
        <w:rPr>
          <w:sz w:val="24"/>
          <w:szCs w:val="24"/>
          <w:lang/>
        </w:rPr>
        <w:t xml:space="preserve">Ниш – Бубањ, </w:t>
      </w:r>
      <w:r>
        <w:rPr>
          <w:sz w:val="24"/>
          <w:szCs w:val="24"/>
          <w:lang/>
        </w:rPr>
        <w:t>процењена</w:t>
      </w:r>
      <w:r w:rsidRPr="00A91098">
        <w:rPr>
          <w:sz w:val="24"/>
          <w:szCs w:val="24"/>
          <w:lang/>
        </w:rPr>
        <w:t xml:space="preserve"> на износ од 1.792.000,00 динара;</w:t>
      </w:r>
    </w:p>
    <w:p w:rsidR="00864DA1" w:rsidRPr="00A91098" w:rsidRDefault="00864DA1" w:rsidP="00864DA1">
      <w:pPr>
        <w:pStyle w:val="pStyle2"/>
        <w:numPr>
          <w:ilvl w:val="0"/>
          <w:numId w:val="5"/>
        </w:numPr>
        <w:spacing w:line="240" w:lineRule="auto"/>
        <w:rPr>
          <w:sz w:val="24"/>
          <w:szCs w:val="24"/>
          <w:lang/>
        </w:rPr>
      </w:pPr>
      <w:r w:rsidRPr="00A91098">
        <w:rPr>
          <w:sz w:val="24"/>
          <w:szCs w:val="24"/>
          <w:lang/>
        </w:rPr>
        <w:t xml:space="preserve">Остале зграде, спратности ПР 1, укупне површине 14 </w:t>
      </w:r>
      <w:r w:rsidRPr="00A91098">
        <w:rPr>
          <w:sz w:val="24"/>
          <w:szCs w:val="24"/>
          <w:lang w:val="en-US"/>
        </w:rPr>
        <w:t>m</w:t>
      </w:r>
      <w:r w:rsidRPr="00A91098">
        <w:rPr>
          <w:sz w:val="24"/>
          <w:szCs w:val="24"/>
          <w:vertAlign w:val="superscript"/>
          <w:lang w:val="en-US"/>
        </w:rPr>
        <w:t>2</w:t>
      </w:r>
      <w:r w:rsidRPr="00A91098">
        <w:rPr>
          <w:sz w:val="24"/>
          <w:szCs w:val="24"/>
          <w:lang w:val="en-US"/>
        </w:rPr>
        <w:t>,</w:t>
      </w:r>
      <w:r w:rsidRPr="00A91098">
        <w:rPr>
          <w:sz w:val="24"/>
          <w:szCs w:val="24"/>
          <w:lang/>
        </w:rPr>
        <w:t xml:space="preserve"> површине према налазу стручног лица: 12,90 </w:t>
      </w:r>
      <w:r w:rsidRPr="00A91098">
        <w:rPr>
          <w:sz w:val="24"/>
          <w:szCs w:val="24"/>
          <w:lang w:val="en-US"/>
        </w:rPr>
        <w:t>m</w:t>
      </w:r>
      <w:r w:rsidRPr="00A91098">
        <w:rPr>
          <w:sz w:val="24"/>
          <w:szCs w:val="24"/>
          <w:vertAlign w:val="superscript"/>
          <w:lang w:val="en-US"/>
        </w:rPr>
        <w:t>2</w:t>
      </w:r>
      <w:r w:rsidRPr="00A91098">
        <w:rPr>
          <w:sz w:val="24"/>
          <w:szCs w:val="24"/>
          <w:lang/>
        </w:rPr>
        <w:t>, означене као објекат изграђен без одобрења за градњу, која се налази у улици Змаја од ноћаја, на катастарској парцели 6310, са обимом удела 1/1, са правом коришћења земљишта под зградом са обимом удела 75/404, све уписано у ЛН 6892, КО</w:t>
      </w:r>
      <w:r w:rsidRPr="00A91098">
        <w:rPr>
          <w:sz w:val="24"/>
          <w:szCs w:val="24"/>
          <w:lang w:val="en-US"/>
        </w:rPr>
        <w:t xml:space="preserve"> </w:t>
      </w:r>
      <w:r w:rsidRPr="00A91098">
        <w:rPr>
          <w:sz w:val="24"/>
          <w:szCs w:val="24"/>
          <w:lang/>
        </w:rPr>
        <w:t>Ниш – Бубањ</w:t>
      </w:r>
      <w:r w:rsidRPr="00A91098">
        <w:rPr>
          <w:sz w:val="24"/>
          <w:szCs w:val="24"/>
        </w:rPr>
        <w:t>,</w:t>
      </w:r>
      <w:r w:rsidRPr="00A91098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процењена</w:t>
      </w:r>
      <w:r w:rsidRPr="00A91098">
        <w:rPr>
          <w:sz w:val="24"/>
          <w:szCs w:val="24"/>
          <w:lang/>
        </w:rPr>
        <w:t xml:space="preserve"> на износ од 129.000,00 динара.</w:t>
      </w:r>
    </w:p>
    <w:p w:rsidR="00864DA1" w:rsidRPr="004136DA" w:rsidRDefault="00864DA1" w:rsidP="00864DA1">
      <w:pPr>
        <w:pStyle w:val="pStyle2"/>
        <w:tabs>
          <w:tab w:val="left" w:pos="420"/>
        </w:tabs>
        <w:spacing w:line="240" w:lineRule="auto"/>
        <w:ind w:left="420" w:firstLine="0"/>
        <w:rPr>
          <w:b/>
          <w:sz w:val="24"/>
          <w:szCs w:val="24"/>
        </w:rPr>
      </w:pPr>
    </w:p>
    <w:p w:rsidR="00864DA1" w:rsidRDefault="00864DA1" w:rsidP="00864DA1">
      <w:pPr>
        <w:ind w:firstLine="708"/>
        <w:jc w:val="both"/>
        <w:rPr>
          <w:b/>
        </w:rPr>
      </w:pPr>
    </w:p>
    <w:p w:rsidR="00864DA1" w:rsidRDefault="00864DA1" w:rsidP="00864DA1">
      <w:pPr>
        <w:ind w:firstLine="708"/>
        <w:jc w:val="both"/>
        <w:rPr>
          <w:b/>
        </w:rPr>
      </w:pPr>
    </w:p>
    <w:p w:rsidR="00864DA1" w:rsidRDefault="00864DA1" w:rsidP="00864DA1">
      <w:pPr>
        <w:ind w:firstLine="708"/>
        <w:jc w:val="both"/>
      </w:pPr>
      <w:proofErr w:type="spellStart"/>
      <w:r>
        <w:rPr>
          <w:b/>
        </w:rPr>
        <w:lastRenderedPageBreak/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првом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надметању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почетна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износи</w:t>
      </w:r>
      <w:proofErr w:type="spellEnd"/>
      <w:r>
        <w:rPr>
          <w:b/>
        </w:rPr>
        <w:t xml:space="preserve"> 70%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процењене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вредности</w:t>
      </w:r>
      <w:proofErr w:type="spellEnd"/>
      <w:r>
        <w:t>:</w:t>
      </w:r>
    </w:p>
    <w:p w:rsidR="007828A6" w:rsidRDefault="007828A6" w:rsidP="00864DA1">
      <w:pPr>
        <w:ind w:firstLine="708"/>
        <w:jc w:val="both"/>
      </w:pPr>
    </w:p>
    <w:p w:rsidR="00864DA1" w:rsidRPr="00D22298" w:rsidRDefault="00864DA1" w:rsidP="00864DA1">
      <w:pPr>
        <w:pStyle w:val="pStyle2"/>
        <w:numPr>
          <w:ilvl w:val="0"/>
          <w:numId w:val="6"/>
        </w:numPr>
        <w:spacing w:line="240" w:lineRule="auto"/>
        <w:rPr>
          <w:b/>
          <w:sz w:val="24"/>
          <w:szCs w:val="24"/>
          <w:lang/>
        </w:rPr>
      </w:pPr>
      <w:r w:rsidRPr="00A91098">
        <w:rPr>
          <w:sz w:val="24"/>
          <w:szCs w:val="24"/>
          <w:lang/>
        </w:rPr>
        <w:t xml:space="preserve">Породична стамбена зграда, спратности ПР 1, укупне површине 56 </w:t>
      </w:r>
      <w:r w:rsidRPr="00A91098">
        <w:rPr>
          <w:sz w:val="24"/>
          <w:szCs w:val="24"/>
          <w:lang w:val="en-US"/>
        </w:rPr>
        <w:t>m</w:t>
      </w:r>
      <w:r w:rsidRPr="00A91098">
        <w:rPr>
          <w:sz w:val="24"/>
          <w:szCs w:val="24"/>
          <w:vertAlign w:val="superscript"/>
          <w:lang w:val="en-US"/>
        </w:rPr>
        <w:t>2</w:t>
      </w:r>
      <w:r w:rsidRPr="00A91098">
        <w:rPr>
          <w:sz w:val="24"/>
          <w:szCs w:val="24"/>
          <w:lang w:val="en-US"/>
        </w:rPr>
        <w:t>,</w:t>
      </w:r>
      <w:r w:rsidRPr="00A91098">
        <w:rPr>
          <w:sz w:val="24"/>
          <w:szCs w:val="24"/>
          <w:lang/>
        </w:rPr>
        <w:t xml:space="preserve"> површине према налазу стручног лица: 44,80 </w:t>
      </w:r>
      <w:r w:rsidRPr="00A91098">
        <w:rPr>
          <w:sz w:val="24"/>
          <w:szCs w:val="24"/>
          <w:lang w:val="en-US"/>
        </w:rPr>
        <w:t>m</w:t>
      </w:r>
      <w:r w:rsidRPr="00A91098">
        <w:rPr>
          <w:sz w:val="24"/>
          <w:szCs w:val="24"/>
          <w:vertAlign w:val="superscript"/>
          <w:lang w:val="en-US"/>
        </w:rPr>
        <w:t>2</w:t>
      </w:r>
      <w:r w:rsidRPr="00A91098">
        <w:rPr>
          <w:sz w:val="24"/>
          <w:szCs w:val="24"/>
          <w:lang/>
        </w:rPr>
        <w:t xml:space="preserve">  означене као објекат изграђен без одобрења за градњу, која се налази у улици Змаја од ноћаја 52/Б, на катастарској парцели 6310, са обимом удела 1/1, са правом коришћења земљишта под зградом са обимом удела 254/404, све уписано у ЛН 6892, КО</w:t>
      </w:r>
      <w:r w:rsidRPr="00A91098">
        <w:rPr>
          <w:sz w:val="24"/>
          <w:szCs w:val="24"/>
          <w:lang w:val="en-US"/>
        </w:rPr>
        <w:t xml:space="preserve"> </w:t>
      </w:r>
      <w:r w:rsidRPr="00A91098">
        <w:rPr>
          <w:sz w:val="24"/>
          <w:szCs w:val="24"/>
          <w:lang/>
        </w:rPr>
        <w:t xml:space="preserve">Ниш – Бубањ, </w:t>
      </w:r>
      <w:r>
        <w:rPr>
          <w:sz w:val="24"/>
          <w:szCs w:val="24"/>
          <w:lang/>
        </w:rPr>
        <w:t>процењена</w:t>
      </w:r>
      <w:r w:rsidRPr="00A91098">
        <w:rPr>
          <w:sz w:val="24"/>
          <w:szCs w:val="24"/>
          <w:lang/>
        </w:rPr>
        <w:t xml:space="preserve"> на износ од 1.792.000,00 динара;</w:t>
      </w:r>
      <w:r>
        <w:rPr>
          <w:sz w:val="24"/>
          <w:szCs w:val="24"/>
          <w:lang/>
        </w:rPr>
        <w:t xml:space="preserve"> </w:t>
      </w:r>
      <w:r w:rsidRPr="00D22298">
        <w:rPr>
          <w:b/>
          <w:sz w:val="24"/>
          <w:szCs w:val="24"/>
          <w:lang/>
        </w:rPr>
        <w:t>почетна цена износи 1.254.400,00 динара,</w:t>
      </w:r>
    </w:p>
    <w:p w:rsidR="00864DA1" w:rsidRPr="00D22298" w:rsidRDefault="00864DA1" w:rsidP="00864DA1">
      <w:pPr>
        <w:pStyle w:val="pStyle2"/>
        <w:numPr>
          <w:ilvl w:val="0"/>
          <w:numId w:val="6"/>
        </w:numPr>
        <w:spacing w:line="240" w:lineRule="auto"/>
        <w:rPr>
          <w:b/>
          <w:sz w:val="24"/>
          <w:szCs w:val="24"/>
          <w:lang/>
        </w:rPr>
      </w:pPr>
      <w:bookmarkStart w:id="0" w:name="_GoBack"/>
      <w:r w:rsidRPr="00A91098">
        <w:rPr>
          <w:sz w:val="24"/>
          <w:szCs w:val="24"/>
          <w:lang/>
        </w:rPr>
        <w:t xml:space="preserve">Остале зграде, спратности ПР 1, укупне површине 14 </w:t>
      </w:r>
      <w:r w:rsidRPr="00A91098">
        <w:rPr>
          <w:sz w:val="24"/>
          <w:szCs w:val="24"/>
          <w:lang w:val="en-US"/>
        </w:rPr>
        <w:t>m</w:t>
      </w:r>
      <w:r w:rsidRPr="00A91098">
        <w:rPr>
          <w:sz w:val="24"/>
          <w:szCs w:val="24"/>
          <w:vertAlign w:val="superscript"/>
          <w:lang w:val="en-US"/>
        </w:rPr>
        <w:t>2</w:t>
      </w:r>
      <w:r w:rsidRPr="00A91098">
        <w:rPr>
          <w:sz w:val="24"/>
          <w:szCs w:val="24"/>
          <w:lang w:val="en-US"/>
        </w:rPr>
        <w:t>,</w:t>
      </w:r>
      <w:r w:rsidRPr="00A91098">
        <w:rPr>
          <w:sz w:val="24"/>
          <w:szCs w:val="24"/>
          <w:lang/>
        </w:rPr>
        <w:t xml:space="preserve"> површине према налазу стручног лица: 12,90 </w:t>
      </w:r>
      <w:r w:rsidRPr="00A91098">
        <w:rPr>
          <w:sz w:val="24"/>
          <w:szCs w:val="24"/>
          <w:lang w:val="en-US"/>
        </w:rPr>
        <w:t>m</w:t>
      </w:r>
      <w:r w:rsidRPr="00A91098">
        <w:rPr>
          <w:sz w:val="24"/>
          <w:szCs w:val="24"/>
          <w:vertAlign w:val="superscript"/>
          <w:lang w:val="en-US"/>
        </w:rPr>
        <w:t>2</w:t>
      </w:r>
      <w:r w:rsidRPr="00A91098">
        <w:rPr>
          <w:sz w:val="24"/>
          <w:szCs w:val="24"/>
          <w:lang/>
        </w:rPr>
        <w:t>, означене као објекат изграђен без одобрења за градњу, која се налази у улици Змаја од ноћаја, на катастарској парцели 6310, са обимом удела 1/1, са правом коришћења земљишта под зградом са обимом удела 75/404, све уписано у ЛН 6892, КО</w:t>
      </w:r>
      <w:r w:rsidRPr="00A91098">
        <w:rPr>
          <w:sz w:val="24"/>
          <w:szCs w:val="24"/>
          <w:lang w:val="en-US"/>
        </w:rPr>
        <w:t xml:space="preserve"> </w:t>
      </w:r>
      <w:r w:rsidRPr="00A91098">
        <w:rPr>
          <w:sz w:val="24"/>
          <w:szCs w:val="24"/>
          <w:lang/>
        </w:rPr>
        <w:t>Ниш – Бубањ</w:t>
      </w:r>
      <w:r w:rsidRPr="00A91098">
        <w:rPr>
          <w:sz w:val="24"/>
          <w:szCs w:val="24"/>
        </w:rPr>
        <w:t>,</w:t>
      </w:r>
      <w:r w:rsidRPr="00A91098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 xml:space="preserve">процењена на износ од 129.000,00 динара, </w:t>
      </w:r>
      <w:r w:rsidRPr="00D22298">
        <w:rPr>
          <w:b/>
          <w:sz w:val="24"/>
          <w:szCs w:val="24"/>
          <w:lang/>
        </w:rPr>
        <w:t>почетна цена износи 90.300,00 динара.</w:t>
      </w:r>
    </w:p>
    <w:bookmarkEnd w:id="0"/>
    <w:p w:rsidR="00864DA1" w:rsidRPr="00A91098" w:rsidRDefault="00864DA1" w:rsidP="00864DA1">
      <w:pPr>
        <w:pStyle w:val="pStyle2"/>
        <w:spacing w:line="240" w:lineRule="auto"/>
        <w:ind w:left="720" w:firstLine="0"/>
        <w:rPr>
          <w:sz w:val="24"/>
          <w:szCs w:val="24"/>
          <w:lang/>
        </w:rPr>
      </w:pPr>
    </w:p>
    <w:p w:rsidR="00864DA1" w:rsidRPr="00DB7137" w:rsidRDefault="00864DA1" w:rsidP="00864DA1">
      <w:pPr>
        <w:jc w:val="both"/>
      </w:pPr>
    </w:p>
    <w:p w:rsidR="00864DA1" w:rsidRDefault="00864DA1" w:rsidP="00864DA1">
      <w:pPr>
        <w:ind w:left="720" w:firstLine="720"/>
        <w:jc w:val="both"/>
      </w:pPr>
      <w:r>
        <w:t>II</w:t>
      </w:r>
    </w:p>
    <w:p w:rsidR="00864DA1" w:rsidRDefault="00864DA1" w:rsidP="00864DA1">
      <w:pPr>
        <w:ind w:firstLine="708"/>
        <w:jc w:val="both"/>
        <w:rPr>
          <w:lang/>
        </w:rPr>
      </w:pPr>
    </w:p>
    <w:p w:rsidR="00864DA1" w:rsidRDefault="00864DA1" w:rsidP="00864DA1">
      <w:pPr>
        <w:ind w:firstLine="708"/>
        <w:jc w:val="both"/>
      </w:pPr>
      <w:proofErr w:type="spellStart"/>
      <w:proofErr w:type="gramStart"/>
      <w:r>
        <w:t>Продаја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oвог</w:t>
      </w:r>
      <w:proofErr w:type="spellEnd"/>
      <w:proofErr w:type="gramEnd"/>
      <w:r>
        <w:t xml:space="preserve"> </w:t>
      </w:r>
      <w:proofErr w:type="spellStart"/>
      <w:r>
        <w:t>Закључка</w:t>
      </w:r>
      <w:proofErr w:type="spellEnd"/>
      <w:r>
        <w:t xml:space="preserve"> </w:t>
      </w:r>
      <w:proofErr w:type="spellStart"/>
      <w:r>
        <w:t>обавиће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усменог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а </w:t>
      </w:r>
      <w:proofErr w:type="spellStart"/>
      <w:r>
        <w:t>прво</w:t>
      </w:r>
      <w:proofErr w:type="spellEnd"/>
      <w:r>
        <w:t xml:space="preserve"> </w:t>
      </w:r>
      <w:proofErr w:type="spellStart"/>
      <w:r>
        <w:t>усмено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надметање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одржати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>
        <w:rPr>
          <w:b/>
          <w:bCs/>
        </w:rPr>
        <w:t xml:space="preserve">28.04.2023. </w:t>
      </w:r>
      <w:proofErr w:type="spellStart"/>
      <w:proofErr w:type="gramStart"/>
      <w:r>
        <w:rPr>
          <w:b/>
          <w:bCs/>
        </w:rPr>
        <w:t>године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почетком</w:t>
      </w:r>
      <w:proofErr w:type="spellEnd"/>
      <w:r>
        <w:t xml:space="preserve"> у </w:t>
      </w:r>
      <w:r>
        <w:rPr>
          <w:b/>
          <w:bCs/>
        </w:rPr>
        <w:t xml:space="preserve">13 </w:t>
      </w:r>
      <w:proofErr w:type="spellStart"/>
      <w:r>
        <w:t>часова</w:t>
      </w:r>
      <w:proofErr w:type="spellEnd"/>
      <w:r>
        <w:t xml:space="preserve">, у </w:t>
      </w:r>
      <w:proofErr w:type="spellStart"/>
      <w:r>
        <w:t>канцеларији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 </w:t>
      </w:r>
      <w:proofErr w:type="spellStart"/>
      <w:r>
        <w:t>Жарка</w:t>
      </w:r>
      <w:proofErr w:type="spellEnd"/>
      <w:r>
        <w:t xml:space="preserve"> </w:t>
      </w:r>
      <w:proofErr w:type="spellStart"/>
      <w:r>
        <w:t>Димитријевића</w:t>
      </w:r>
      <w:proofErr w:type="spellEnd"/>
      <w:r>
        <w:t xml:space="preserve">, </w:t>
      </w:r>
      <w:proofErr w:type="spellStart"/>
      <w:r>
        <w:t>Мачванска</w:t>
      </w:r>
      <w:proofErr w:type="spellEnd"/>
      <w:r>
        <w:t xml:space="preserve"> 1/2, </w:t>
      </w:r>
      <w:proofErr w:type="spellStart"/>
      <w:r>
        <w:t>Ниш</w:t>
      </w:r>
      <w:proofErr w:type="spellEnd"/>
      <w:r>
        <w:t>.</w:t>
      </w:r>
    </w:p>
    <w:p w:rsidR="00864DA1" w:rsidRDefault="00864DA1" w:rsidP="00864DA1">
      <w:pPr>
        <w:jc w:val="both"/>
      </w:pPr>
      <w:r>
        <w:tab/>
      </w:r>
      <w:r>
        <w:tab/>
      </w:r>
    </w:p>
    <w:p w:rsidR="00864DA1" w:rsidRDefault="00864DA1" w:rsidP="00864DA1">
      <w:pPr>
        <w:ind w:left="708" w:firstLine="708"/>
        <w:jc w:val="both"/>
      </w:pPr>
      <w:r>
        <w:t>III</w:t>
      </w:r>
    </w:p>
    <w:p w:rsidR="00864DA1" w:rsidRDefault="00864DA1" w:rsidP="00864DA1">
      <w:pPr>
        <w:jc w:val="both"/>
        <w:rPr>
          <w:lang/>
        </w:rPr>
      </w:pPr>
      <w:r>
        <w:tab/>
      </w:r>
    </w:p>
    <w:p w:rsidR="00864DA1" w:rsidRDefault="00864DA1" w:rsidP="00864DA1">
      <w:pPr>
        <w:ind w:firstLine="708"/>
        <w:jc w:val="both"/>
      </w:pPr>
      <w:proofErr w:type="spellStart"/>
      <w:r>
        <w:t>Странке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споразумеју</w:t>
      </w:r>
      <w:proofErr w:type="spellEnd"/>
      <w:r>
        <w:t xml:space="preserve"> о </w:t>
      </w:r>
      <w:proofErr w:type="spellStart"/>
      <w:r>
        <w:t>продаји</w:t>
      </w:r>
      <w:proofErr w:type="spellEnd"/>
      <w:r>
        <w:t xml:space="preserve"> </w:t>
      </w:r>
      <w:proofErr w:type="spellStart"/>
      <w:proofErr w:type="gramStart"/>
      <w:r>
        <w:t>непокретности</w:t>
      </w:r>
      <w:proofErr w:type="spellEnd"/>
      <w:r>
        <w:t xml:space="preserve">  </w:t>
      </w:r>
      <w:proofErr w:type="spellStart"/>
      <w:r>
        <w:t>непосредном</w:t>
      </w:r>
      <w:proofErr w:type="spellEnd"/>
      <w:proofErr w:type="gramEnd"/>
      <w:r>
        <w:t xml:space="preserve"> </w:t>
      </w:r>
      <w:proofErr w:type="spellStart"/>
      <w:r>
        <w:t>погодбом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о </w:t>
      </w:r>
      <w:proofErr w:type="spellStart"/>
      <w:r>
        <w:t>додељивању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надметање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успело</w:t>
      </w:r>
      <w:proofErr w:type="spellEnd"/>
      <w:r>
        <w:t xml:space="preserve">. </w:t>
      </w:r>
      <w:proofErr w:type="spellStart"/>
      <w:proofErr w:type="gramStart"/>
      <w:r>
        <w:t>Продајна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нижа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70 %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>.</w:t>
      </w:r>
      <w:proofErr w:type="gramEnd"/>
    </w:p>
    <w:p w:rsidR="00864DA1" w:rsidRDefault="00864DA1" w:rsidP="00864DA1">
      <w:pPr>
        <w:pStyle w:val="ListParagraph1"/>
        <w:ind w:firstLine="720"/>
        <w:rPr>
          <w:rFonts w:ascii="Times New Roman" w:hAnsi="Times New Roman"/>
          <w:sz w:val="24"/>
          <w:szCs w:val="24"/>
          <w:lang/>
        </w:rPr>
      </w:pPr>
    </w:p>
    <w:p w:rsidR="00864DA1" w:rsidRDefault="00864DA1" w:rsidP="00864DA1">
      <w:pPr>
        <w:pStyle w:val="ListParagraph1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</w:t>
      </w:r>
    </w:p>
    <w:p w:rsidR="00864DA1" w:rsidRDefault="00864DA1" w:rsidP="00864DA1">
      <w:pPr>
        <w:pStyle w:val="ListParagraph1"/>
        <w:ind w:firstLine="720"/>
        <w:rPr>
          <w:rFonts w:ascii="Times New Roman" w:hAnsi="Times New Roman"/>
          <w:sz w:val="24"/>
          <w:szCs w:val="24"/>
        </w:rPr>
      </w:pPr>
    </w:p>
    <w:p w:rsidR="00864DA1" w:rsidRDefault="00864DA1" w:rsidP="00864DA1">
      <w:pPr>
        <w:ind w:firstLine="708"/>
        <w:jc w:val="both"/>
      </w:pPr>
      <w:r>
        <w:rPr>
          <w:lang w:val="sr-Latn-CS"/>
        </w:rPr>
        <w:t xml:space="preserve">Понуђач са највећом понудом дужан је да плати </w:t>
      </w:r>
      <w:proofErr w:type="spellStart"/>
      <w:r>
        <w:t>продајну</w:t>
      </w:r>
      <w:proofErr w:type="spellEnd"/>
      <w:r>
        <w:t xml:space="preserve"> </w:t>
      </w:r>
      <w:r>
        <w:rPr>
          <w:lang w:val="sr-Latn-CS"/>
        </w:rPr>
        <w:t xml:space="preserve">цену </w:t>
      </w:r>
      <w:r>
        <w:t xml:space="preserve">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rPr>
          <w:lang w:val="sr-Latn-CS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о </w:t>
      </w:r>
      <w:proofErr w:type="spellStart"/>
      <w:r>
        <w:t>додељивању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rPr>
          <w:lang w:val="sr-Latn-CS"/>
        </w:rPr>
        <w:t>,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наменски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160-406052-46,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>
        <w:rPr>
          <w:b/>
        </w:rPr>
        <w:t>И.И-</w:t>
      </w:r>
      <w:r>
        <w:rPr>
          <w:b/>
          <w:lang/>
        </w:rPr>
        <w:t>1577</w:t>
      </w:r>
      <w:r>
        <w:rPr>
          <w:b/>
        </w:rPr>
        <w:t>/</w:t>
      </w:r>
      <w:r>
        <w:rPr>
          <w:b/>
          <w:lang/>
        </w:rPr>
        <w:t>2017</w:t>
      </w:r>
      <w:r>
        <w:rPr>
          <w:b/>
        </w:rPr>
        <w:t>,</w:t>
      </w:r>
      <w:r>
        <w:rPr>
          <w:lang w:val="sr-Latn-CS"/>
        </w:rPr>
        <w:t xml:space="preserve"> а ако</w:t>
      </w:r>
      <w:r>
        <w:t xml:space="preserve"> </w:t>
      </w:r>
      <w:proofErr w:type="spellStart"/>
      <w:r>
        <w:t>најповољнији</w:t>
      </w:r>
      <w:proofErr w:type="spellEnd"/>
      <w:r>
        <w:rPr>
          <w:lang w:val="sr-Latn-CS"/>
        </w:rPr>
        <w:t xml:space="preserve"> понуђач </w:t>
      </w:r>
      <w:r>
        <w:t xml:space="preserve">с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закључком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оглашава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продаја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дејства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њему</w:t>
      </w:r>
      <w:proofErr w:type="spellEnd"/>
      <w:r>
        <w:t xml:space="preserve"> и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додељује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одређивање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понуђене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,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закључком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оглашава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продаја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дејства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њему</w:t>
      </w:r>
      <w:proofErr w:type="spellEnd"/>
      <w:r>
        <w:t xml:space="preserve"> и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додељује</w:t>
      </w:r>
      <w:proofErr w:type="spellEnd"/>
      <w:r>
        <w:t xml:space="preserve">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одређивање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понуђене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, а </w:t>
      </w:r>
      <w:proofErr w:type="spellStart"/>
      <w:r>
        <w:t>све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192. </w:t>
      </w:r>
      <w:proofErr w:type="spellStart"/>
      <w:proofErr w:type="gramStart"/>
      <w:r>
        <w:t>ставом</w:t>
      </w:r>
      <w:proofErr w:type="spellEnd"/>
      <w:proofErr w:type="gramEnd"/>
      <w:r>
        <w:t xml:space="preserve"> 2.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и </w:t>
      </w:r>
      <w:proofErr w:type="spellStart"/>
      <w:r>
        <w:t>обезбеђењу</w:t>
      </w:r>
      <w:proofErr w:type="spellEnd"/>
      <w:r>
        <w:t>.</w:t>
      </w:r>
      <w:proofErr w:type="gramEnd"/>
    </w:p>
    <w:p w:rsidR="00864DA1" w:rsidRDefault="00864DA1" w:rsidP="00864DA1">
      <w:pPr>
        <w:ind w:left="708" w:firstLine="708"/>
        <w:jc w:val="both"/>
        <w:rPr>
          <w:lang/>
        </w:rPr>
      </w:pPr>
    </w:p>
    <w:p w:rsidR="00864DA1" w:rsidRDefault="00864DA1" w:rsidP="00864DA1">
      <w:pPr>
        <w:ind w:left="708" w:firstLine="708"/>
        <w:jc w:val="both"/>
      </w:pPr>
      <w:r>
        <w:t>V</w:t>
      </w:r>
    </w:p>
    <w:p w:rsidR="00864DA1" w:rsidRDefault="00864DA1" w:rsidP="00864DA1">
      <w:pPr>
        <w:ind w:firstLine="720"/>
        <w:jc w:val="both"/>
        <w:rPr>
          <w:lang/>
        </w:rPr>
      </w:pPr>
    </w:p>
    <w:p w:rsidR="00864DA1" w:rsidRDefault="00864DA1" w:rsidP="00864DA1">
      <w:pPr>
        <w:ind w:firstLine="720"/>
        <w:jc w:val="both"/>
      </w:pPr>
      <w:r>
        <w:rPr>
          <w:lang w:val="sr-Latn-CS"/>
        </w:rPr>
        <w:t xml:space="preserve">У случају да ниједан од понуђача са одговарајућом понудом не уплати цену </w:t>
      </w:r>
      <w:r>
        <w:t xml:space="preserve">у </w:t>
      </w:r>
      <w:proofErr w:type="spellStart"/>
      <w:r>
        <w:t>остављеном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rPr>
          <w:lang w:val="sr-Latn-CS"/>
        </w:rPr>
        <w:t xml:space="preserve">  </w:t>
      </w:r>
      <w:proofErr w:type="spellStart"/>
      <w:r>
        <w:t>Јавни</w:t>
      </w:r>
      <w:proofErr w:type="spellEnd"/>
      <w:r>
        <w:t xml:space="preserve"> и</w:t>
      </w:r>
      <w:r>
        <w:rPr>
          <w:lang w:val="sr-Latn-CS"/>
        </w:rPr>
        <w:t xml:space="preserve">звршитељ ће поступити у складу са чланом </w:t>
      </w:r>
      <w:r>
        <w:t xml:space="preserve">177. </w:t>
      </w:r>
      <w:proofErr w:type="spellStart"/>
      <w:proofErr w:type="gramStart"/>
      <w:r>
        <w:t>ставом</w:t>
      </w:r>
      <w:proofErr w:type="spellEnd"/>
      <w:proofErr w:type="gramEnd"/>
      <w:r>
        <w:t xml:space="preserve"> 3.</w:t>
      </w:r>
      <w:r>
        <w:rPr>
          <w:lang w:val="sr-Latn-CS"/>
        </w:rPr>
        <w:t xml:space="preserve"> Закона о извршењу и обезбеђењу.</w:t>
      </w:r>
    </w:p>
    <w:p w:rsidR="00864DA1" w:rsidRDefault="00864DA1" w:rsidP="00864DA1">
      <w:pPr>
        <w:ind w:left="720" w:firstLine="720"/>
        <w:jc w:val="both"/>
        <w:rPr>
          <w:lang/>
        </w:rPr>
      </w:pPr>
    </w:p>
    <w:p w:rsidR="00864DA1" w:rsidRDefault="00864DA1" w:rsidP="00864DA1">
      <w:pPr>
        <w:ind w:left="720" w:firstLine="720"/>
        <w:jc w:val="both"/>
      </w:pPr>
      <w:r>
        <w:t>VI</w:t>
      </w:r>
    </w:p>
    <w:p w:rsidR="00864DA1" w:rsidRDefault="00864DA1" w:rsidP="00864DA1">
      <w:pPr>
        <w:ind w:firstLine="720"/>
        <w:jc w:val="both"/>
      </w:pPr>
      <w:r>
        <w:rPr>
          <w:lang w:val="sr-Latn-CS"/>
        </w:rPr>
        <w:t xml:space="preserve">Заинтересовани купци су обавезни да пре одржавања јавног надметања уплате на име јемства 10% од </w:t>
      </w:r>
      <w:r>
        <w:rPr>
          <w:lang w:val="sr-Cyrl-CS"/>
        </w:rPr>
        <w:t>процењене вредности ствари</w:t>
      </w:r>
      <w:r>
        <w:rPr>
          <w:lang w:val="sr-Latn-CS"/>
        </w:rPr>
        <w:t>, на</w:t>
      </w:r>
      <w:r>
        <w:t xml:space="preserve"> </w:t>
      </w:r>
      <w:proofErr w:type="spellStart"/>
      <w:r>
        <w:t>наменски</w:t>
      </w:r>
      <w:proofErr w:type="spellEnd"/>
      <w:r>
        <w:t xml:space="preserve"> </w:t>
      </w:r>
      <w:r>
        <w:rPr>
          <w:lang w:val="sr-Latn-CS"/>
        </w:rPr>
        <w:t xml:space="preserve"> </w:t>
      </w:r>
      <w:r>
        <w:rPr>
          <w:lang w:val="sr-Cyrl-CS"/>
        </w:rPr>
        <w:t>рачун Јавног извршитеља број</w:t>
      </w:r>
      <w:r>
        <w:rPr>
          <w:lang w:val="sr-Latn-CS"/>
        </w:rPr>
        <w:t xml:space="preserve"> </w:t>
      </w:r>
      <w:r>
        <w:t>160-</w:t>
      </w:r>
      <w:r>
        <w:lastRenderedPageBreak/>
        <w:t>406052-46</w:t>
      </w:r>
      <w:r>
        <w:rPr>
          <w:lang w:val="sr-Latn-CS"/>
        </w:rPr>
        <w:t xml:space="preserve"> са </w:t>
      </w:r>
      <w:proofErr w:type="spellStart"/>
      <w:r>
        <w:t>сврхом</w:t>
      </w:r>
      <w:proofErr w:type="spellEnd"/>
      <w:r>
        <w:t xml:space="preserve"> </w:t>
      </w:r>
      <w:proofErr w:type="spellStart"/>
      <w:r>
        <w:t>уплате</w:t>
      </w:r>
      <w:proofErr w:type="spellEnd"/>
      <w:r>
        <w:t xml:space="preserve"> </w:t>
      </w:r>
      <w:r>
        <w:rPr>
          <w:lang w:val="sr-Latn-CS"/>
        </w:rPr>
        <w:t xml:space="preserve"> „јемство за </w:t>
      </w:r>
      <w:r>
        <w:rPr>
          <w:b/>
        </w:rPr>
        <w:t>И.И-</w:t>
      </w:r>
      <w:r>
        <w:rPr>
          <w:b/>
          <w:lang/>
        </w:rPr>
        <w:t>1577/2017</w:t>
      </w:r>
      <w:r>
        <w:rPr>
          <w:lang w:val="sr-Latn-CS"/>
        </w:rPr>
        <w:t>”</w:t>
      </w:r>
      <w:r>
        <w:t>.</w:t>
      </w:r>
      <w:r>
        <w:rPr>
          <w:lang w:val="sr-Latn-CS"/>
        </w:rPr>
        <w:t xml:space="preserve"> Заинтер</w:t>
      </w:r>
      <w:r>
        <w:t>е</w:t>
      </w:r>
      <w:r>
        <w:rPr>
          <w:lang w:val="sr-Latn-CS"/>
        </w:rPr>
        <w:t xml:space="preserve">совани купци  су дужни да </w:t>
      </w:r>
      <w:proofErr w:type="spellStart"/>
      <w:r>
        <w:t>уплате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rPr>
          <w:lang w:val="sr-Latn-CS"/>
        </w:rPr>
        <w:t xml:space="preserve"> јемств</w:t>
      </w:r>
      <w:r>
        <w:t>а.</w:t>
      </w:r>
      <w:r>
        <w:rPr>
          <w:lang w:val="sr-Latn-CS"/>
        </w:rPr>
        <w:t xml:space="preserve"> </w:t>
      </w:r>
      <w:proofErr w:type="gramStart"/>
      <w:r>
        <w:t>Л</w:t>
      </w:r>
      <w:r>
        <w:rPr>
          <w:lang w:val="sr-Latn-CS"/>
        </w:rPr>
        <w:t>ица која претходно нису положила јемство не могу учествовати на јавном надметању.</w:t>
      </w:r>
      <w:proofErr w:type="gramEnd"/>
    </w:p>
    <w:p w:rsidR="00864DA1" w:rsidRDefault="00864DA1" w:rsidP="00864DA1">
      <w:pPr>
        <w:jc w:val="both"/>
        <w:rPr>
          <w:lang/>
        </w:rPr>
      </w:pPr>
      <w:r>
        <w:tab/>
      </w:r>
      <w:r>
        <w:tab/>
      </w:r>
    </w:p>
    <w:p w:rsidR="00864DA1" w:rsidRDefault="00864DA1" w:rsidP="00864DA1">
      <w:pPr>
        <w:ind w:left="708" w:firstLine="708"/>
        <w:jc w:val="both"/>
      </w:pPr>
      <w:r>
        <w:t>VII</w:t>
      </w:r>
    </w:p>
    <w:p w:rsidR="00864DA1" w:rsidRDefault="00864DA1" w:rsidP="00864DA1">
      <w:pPr>
        <w:ind w:firstLine="720"/>
        <w:jc w:val="both"/>
        <w:rPr>
          <w:lang/>
        </w:rPr>
      </w:pPr>
    </w:p>
    <w:p w:rsidR="00864DA1" w:rsidRDefault="00864DA1" w:rsidP="00864DA1">
      <w:pPr>
        <w:ind w:firstLine="720"/>
        <w:jc w:val="both"/>
      </w:pPr>
      <w:proofErr w:type="spellStart"/>
      <w:proofErr w:type="gram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и </w:t>
      </w:r>
      <w:proofErr w:type="spellStart"/>
      <w:r>
        <w:t>заложни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полажу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њихова</w:t>
      </w:r>
      <w:proofErr w:type="spellEnd"/>
      <w:r>
        <w:t xml:space="preserve"> </w:t>
      </w:r>
      <w:proofErr w:type="spellStart"/>
      <w:r>
        <w:t>потраживања</w:t>
      </w:r>
      <w:proofErr w:type="spellEnd"/>
      <w:r>
        <w:t xml:space="preserve"> </w:t>
      </w:r>
      <w:proofErr w:type="spellStart"/>
      <w:r>
        <w:t>досежу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, с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њихов</w:t>
      </w:r>
      <w:proofErr w:type="spellEnd"/>
      <w:r>
        <w:t xml:space="preserve"> </w:t>
      </w:r>
      <w:proofErr w:type="spellStart"/>
      <w:r>
        <w:t>редослед</w:t>
      </w:r>
      <w:proofErr w:type="spellEnd"/>
      <w:r>
        <w:t xml:space="preserve"> </w:t>
      </w:r>
      <w:proofErr w:type="spellStart"/>
      <w:r>
        <w:t>намирења</w:t>
      </w:r>
      <w:proofErr w:type="spellEnd"/>
      <w:r>
        <w:t xml:space="preserve"> и </w:t>
      </w:r>
      <w:proofErr w:type="spellStart"/>
      <w:r>
        <w:t>процењену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,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продајне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>.</w:t>
      </w:r>
      <w:proofErr w:type="gramEnd"/>
    </w:p>
    <w:p w:rsidR="00864DA1" w:rsidRDefault="00864DA1" w:rsidP="00864DA1">
      <w:pPr>
        <w:jc w:val="both"/>
        <w:rPr>
          <w:lang/>
        </w:rPr>
      </w:pPr>
      <w:r>
        <w:rPr>
          <w:lang w:val="sr-Latn-CS"/>
        </w:rPr>
        <w:tab/>
      </w:r>
      <w:r>
        <w:rPr>
          <w:lang w:val="sr-Latn-CS"/>
        </w:rPr>
        <w:tab/>
      </w:r>
    </w:p>
    <w:p w:rsidR="00864DA1" w:rsidRDefault="00864DA1" w:rsidP="00864DA1">
      <w:pPr>
        <w:ind w:left="708" w:firstLine="708"/>
        <w:jc w:val="both"/>
      </w:pPr>
      <w:r>
        <w:t xml:space="preserve">VIII </w:t>
      </w:r>
    </w:p>
    <w:p w:rsidR="00864DA1" w:rsidRDefault="00864DA1" w:rsidP="00864DA1">
      <w:pPr>
        <w:ind w:firstLine="708"/>
        <w:jc w:val="both"/>
        <w:rPr>
          <w:lang/>
        </w:rPr>
      </w:pPr>
    </w:p>
    <w:p w:rsidR="00864DA1" w:rsidRPr="009B6B4F" w:rsidRDefault="00864DA1" w:rsidP="00864DA1">
      <w:pPr>
        <w:ind w:firstLine="708"/>
        <w:jc w:val="both"/>
      </w:pPr>
      <w:proofErr w:type="spellStart"/>
      <w:r>
        <w:t>Купац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непосредном</w:t>
      </w:r>
      <w:proofErr w:type="spellEnd"/>
      <w:r>
        <w:t xml:space="preserve"> </w:t>
      </w:r>
      <w:proofErr w:type="spellStart"/>
      <w:r>
        <w:t>погодбом</w:t>
      </w:r>
      <w:proofErr w:type="spellEnd"/>
      <w:r>
        <w:t xml:space="preserve">,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  <w:r>
        <w:t xml:space="preserve">,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извршитељ</w:t>
      </w:r>
      <w:proofErr w:type="spellEnd"/>
      <w:r>
        <w:t xml:space="preserve">, </w:t>
      </w:r>
      <w:proofErr w:type="spellStart"/>
      <w:r>
        <w:t>заменик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, </w:t>
      </w:r>
      <w:proofErr w:type="spellStart"/>
      <w:r>
        <w:t>помоћник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запослено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,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службено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њихов</w:t>
      </w:r>
      <w:proofErr w:type="spellEnd"/>
      <w:r>
        <w:t xml:space="preserve"> </w:t>
      </w:r>
      <w:proofErr w:type="spellStart"/>
      <w:r>
        <w:t>крвни</w:t>
      </w:r>
      <w:proofErr w:type="spellEnd"/>
      <w:r>
        <w:t xml:space="preserve"> </w:t>
      </w:r>
      <w:proofErr w:type="spellStart"/>
      <w:r>
        <w:t>сродник</w:t>
      </w:r>
      <w:proofErr w:type="spellEnd"/>
      <w:r>
        <w:t xml:space="preserve"> у </w:t>
      </w:r>
      <w:proofErr w:type="spellStart"/>
      <w:r>
        <w:t>правој</w:t>
      </w:r>
      <w:proofErr w:type="spellEnd"/>
      <w:r>
        <w:t xml:space="preserve"> </w:t>
      </w:r>
      <w:proofErr w:type="spellStart"/>
      <w:r>
        <w:t>линији</w:t>
      </w:r>
      <w:proofErr w:type="spellEnd"/>
      <w:r>
        <w:t xml:space="preserve"> а у </w:t>
      </w:r>
      <w:proofErr w:type="spellStart"/>
      <w:r>
        <w:t>побочној</w:t>
      </w:r>
      <w:proofErr w:type="spellEnd"/>
      <w:r>
        <w:t xml:space="preserve"> </w:t>
      </w:r>
      <w:proofErr w:type="spellStart"/>
      <w:r>
        <w:t>линији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четвртог</w:t>
      </w:r>
      <w:proofErr w:type="spellEnd"/>
      <w:r>
        <w:t xml:space="preserve"> </w:t>
      </w:r>
      <w:proofErr w:type="spellStart"/>
      <w:r>
        <w:t>степена</w:t>
      </w:r>
      <w:proofErr w:type="spellEnd"/>
      <w:r>
        <w:t xml:space="preserve"> </w:t>
      </w:r>
      <w:proofErr w:type="spellStart"/>
      <w:r>
        <w:t>сродства</w:t>
      </w:r>
      <w:proofErr w:type="spellEnd"/>
      <w:r>
        <w:t xml:space="preserve">, </w:t>
      </w:r>
      <w:proofErr w:type="spellStart"/>
      <w:r>
        <w:t>супружник</w:t>
      </w:r>
      <w:proofErr w:type="spellEnd"/>
      <w:r>
        <w:t xml:space="preserve">, </w:t>
      </w:r>
      <w:proofErr w:type="spellStart"/>
      <w:r>
        <w:t>ванбрачни</w:t>
      </w:r>
      <w:proofErr w:type="spellEnd"/>
      <w:r>
        <w:t xml:space="preserve"> </w:t>
      </w:r>
      <w:proofErr w:type="spellStart"/>
      <w:r>
        <w:t>партнер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тазбински</w:t>
      </w:r>
      <w:proofErr w:type="spellEnd"/>
      <w:r>
        <w:t xml:space="preserve"> </w:t>
      </w:r>
      <w:proofErr w:type="spellStart"/>
      <w:r>
        <w:t>сродник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степена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старатељ</w:t>
      </w:r>
      <w:proofErr w:type="spellEnd"/>
      <w:r>
        <w:t xml:space="preserve">, </w:t>
      </w:r>
      <w:proofErr w:type="spellStart"/>
      <w:r>
        <w:t>усвојитељ</w:t>
      </w:r>
      <w:proofErr w:type="spellEnd"/>
      <w:r>
        <w:t xml:space="preserve">, </w:t>
      </w:r>
      <w:proofErr w:type="spellStart"/>
      <w:r>
        <w:t>усвојеник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хранитељ</w:t>
      </w:r>
      <w:proofErr w:type="spellEnd"/>
      <w:r>
        <w:t>.</w:t>
      </w:r>
      <w:r>
        <w:tab/>
      </w:r>
    </w:p>
    <w:p w:rsidR="00864DA1" w:rsidRDefault="00864DA1" w:rsidP="00864DA1">
      <w:pPr>
        <w:jc w:val="both"/>
        <w:rPr>
          <w:lang/>
        </w:rPr>
      </w:pPr>
      <w:r>
        <w:tab/>
      </w:r>
      <w:r>
        <w:tab/>
      </w:r>
    </w:p>
    <w:p w:rsidR="00864DA1" w:rsidRDefault="00864DA1" w:rsidP="00864DA1">
      <w:pPr>
        <w:jc w:val="both"/>
        <w:rPr>
          <w:lang/>
        </w:rPr>
      </w:pPr>
    </w:p>
    <w:p w:rsidR="00864DA1" w:rsidRDefault="00864DA1" w:rsidP="00864DA1">
      <w:pPr>
        <w:ind w:left="708" w:firstLine="708"/>
        <w:jc w:val="both"/>
      </w:pPr>
      <w:r>
        <w:t>IX</w:t>
      </w:r>
    </w:p>
    <w:p w:rsidR="007828A6" w:rsidRDefault="007828A6" w:rsidP="00864DA1">
      <w:pPr>
        <w:ind w:left="708" w:firstLine="708"/>
        <w:jc w:val="both"/>
      </w:pPr>
    </w:p>
    <w:p w:rsidR="00864DA1" w:rsidRDefault="00864DA1" w:rsidP="00864DA1">
      <w:pPr>
        <w:ind w:firstLine="708"/>
        <w:jc w:val="both"/>
        <w:rPr>
          <w:lang w:val="sr-Latn-CS"/>
        </w:rPr>
      </w:pPr>
      <w:proofErr w:type="spellStart"/>
      <w:proofErr w:type="gramStart"/>
      <w:r>
        <w:t>Слике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видети</w:t>
      </w:r>
      <w:proofErr w:type="spellEnd"/>
      <w:r>
        <w:t xml:space="preserve"> у </w:t>
      </w:r>
      <w:proofErr w:type="spellStart"/>
      <w:r>
        <w:t>канцеларији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</w:t>
      </w:r>
      <w:proofErr w:type="spellStart"/>
      <w:r>
        <w:t>Мачванска</w:t>
      </w:r>
      <w:proofErr w:type="spellEnd"/>
      <w:r>
        <w:t xml:space="preserve"> 1/2, </w:t>
      </w:r>
      <w:proofErr w:type="spellStart"/>
      <w:r>
        <w:t>Ниш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</w:t>
      </w:r>
      <w:proofErr w:type="spellStart"/>
      <w:r>
        <w:t>времену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08-16 </w:t>
      </w:r>
      <w:proofErr w:type="spellStart"/>
      <w:r>
        <w:t>часова</w:t>
      </w:r>
      <w:proofErr w:type="spellEnd"/>
      <w:r>
        <w:t>.</w:t>
      </w:r>
      <w:proofErr w:type="gramEnd"/>
    </w:p>
    <w:p w:rsidR="00864DA1" w:rsidRDefault="00864DA1" w:rsidP="00864DA1">
      <w:pPr>
        <w:jc w:val="both"/>
      </w:pPr>
      <w:r>
        <w:rPr>
          <w:lang w:val="sr-Latn-CS"/>
        </w:rPr>
        <w:tab/>
      </w:r>
    </w:p>
    <w:p w:rsidR="00864DA1" w:rsidRDefault="00864DA1" w:rsidP="00864DA1">
      <w:pPr>
        <w:jc w:val="both"/>
        <w:rPr>
          <w:lang w:val="sr-Latn-CS"/>
        </w:rPr>
      </w:pPr>
      <w:r>
        <w:rPr>
          <w:lang w:val="sr-Latn-CS"/>
        </w:rPr>
        <w:tab/>
      </w:r>
      <w:r>
        <w:rPr>
          <w:lang/>
        </w:rPr>
        <w:tab/>
      </w:r>
      <w:r>
        <w:rPr>
          <w:lang w:val="sr-Latn-CS"/>
        </w:rPr>
        <w:t>X</w:t>
      </w:r>
    </w:p>
    <w:p w:rsidR="007828A6" w:rsidRDefault="007828A6" w:rsidP="00864DA1">
      <w:pPr>
        <w:jc w:val="both"/>
        <w:rPr>
          <w:lang w:val="sr-Latn-CS"/>
        </w:rPr>
      </w:pPr>
    </w:p>
    <w:p w:rsidR="00864DA1" w:rsidRDefault="00864DA1" w:rsidP="00864DA1">
      <w:pPr>
        <w:pStyle w:val="pStyle2"/>
        <w:rPr>
          <w:sz w:val="24"/>
          <w:szCs w:val="24"/>
        </w:rPr>
      </w:pPr>
      <w:r>
        <w:rPr>
          <w:sz w:val="24"/>
          <w:szCs w:val="24"/>
        </w:rPr>
        <w:t>Трошкови извршења падају на терет извршног дужника.</w:t>
      </w:r>
    </w:p>
    <w:p w:rsidR="00864DA1" w:rsidRDefault="00864DA1" w:rsidP="00864DA1"/>
    <w:tbl>
      <w:tblPr>
        <w:tblW w:w="991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17"/>
        <w:gridCol w:w="2699"/>
      </w:tblGrid>
      <w:tr w:rsidR="00864DA1" w:rsidTr="00D979A4">
        <w:trPr>
          <w:trHeight w:val="14"/>
        </w:trPr>
        <w:tc>
          <w:tcPr>
            <w:tcW w:w="7217" w:type="dxa"/>
          </w:tcPr>
          <w:p w:rsidR="00864DA1" w:rsidRDefault="00864DA1" w:rsidP="00D979A4">
            <w:pPr>
              <w:pStyle w:val="pStyl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ПОУКА О ПРАВНОМ ЛЕКУ:</w:t>
            </w:r>
          </w:p>
          <w:p w:rsidR="00864DA1" w:rsidRDefault="00864DA1" w:rsidP="00D979A4">
            <w:pPr>
              <w:pStyle w:val="pSty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 овог Закључка није дозвољен правни лек.</w:t>
            </w:r>
          </w:p>
        </w:tc>
        <w:tc>
          <w:tcPr>
            <w:tcW w:w="2699" w:type="dxa"/>
          </w:tcPr>
          <w:p w:rsidR="00864DA1" w:rsidRDefault="00864DA1" w:rsidP="00D979A4">
            <w:pPr>
              <w:pStyle w:val="pStyle4"/>
              <w:rPr>
                <w:sz w:val="24"/>
                <w:szCs w:val="24"/>
              </w:rPr>
            </w:pPr>
          </w:p>
          <w:p w:rsidR="00864DA1" w:rsidRDefault="00864DA1" w:rsidP="00D979A4">
            <w:pPr>
              <w:pStyle w:val="pStyle4"/>
              <w:rPr>
                <w:sz w:val="24"/>
                <w:szCs w:val="24"/>
              </w:rPr>
            </w:pPr>
          </w:p>
          <w:p w:rsidR="00864DA1" w:rsidRDefault="00864DA1" w:rsidP="00D979A4">
            <w:pPr>
              <w:pStyle w:val="pStyle4"/>
              <w:rPr>
                <w:sz w:val="24"/>
                <w:szCs w:val="24"/>
              </w:rPr>
            </w:pPr>
          </w:p>
          <w:p w:rsidR="00864DA1" w:rsidRDefault="00864DA1" w:rsidP="00D979A4">
            <w:pPr>
              <w:pStyle w:val="pStyle4"/>
              <w:rPr>
                <w:sz w:val="24"/>
                <w:szCs w:val="24"/>
              </w:rPr>
            </w:pPr>
          </w:p>
          <w:p w:rsidR="00864DA1" w:rsidRDefault="00864DA1" w:rsidP="00D979A4">
            <w:pPr>
              <w:pStyle w:val="pStyle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ЈАВНИ ИЗВРШИТЕЉ</w:t>
            </w:r>
          </w:p>
          <w:p w:rsidR="00864DA1" w:rsidRDefault="00864DA1" w:rsidP="00D979A4">
            <w:pPr>
              <w:pStyle w:val="pStyle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864DA1" w:rsidRDefault="00864DA1" w:rsidP="00D979A4">
            <w:pPr>
              <w:pStyle w:val="pStyle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 Жарко Димитријевић</w:t>
            </w:r>
          </w:p>
        </w:tc>
      </w:tr>
    </w:tbl>
    <w:p w:rsidR="00864DA1" w:rsidRPr="00D22298" w:rsidRDefault="00864DA1" w:rsidP="00864DA1">
      <w:pPr>
        <w:pStyle w:val="indented"/>
      </w:pPr>
    </w:p>
    <w:p w:rsidR="006E00B4" w:rsidRDefault="006E00B4"/>
    <w:sectPr w:rsidR="006E00B4" w:rsidSect="00A760D4">
      <w:pgSz w:w="11905" w:h="16837"/>
      <w:pgMar w:top="873" w:right="873" w:bottom="873" w:left="87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altName w:val="Noto Naskh Arabic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72D510"/>
    <w:multiLevelType w:val="multilevel"/>
    <w:tmpl w:val="E6A2524C"/>
    <w:lvl w:ilvl="0">
      <w:start w:val="1"/>
      <w:numFmt w:val="bullet"/>
      <w:lvlText w:val="•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•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1CF8D1E"/>
    <w:multiLevelType w:val="multilevel"/>
    <w:tmpl w:val="1832B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D341E68E"/>
    <w:multiLevelType w:val="multilevel"/>
    <w:tmpl w:val="93243C40"/>
    <w:lvl w:ilvl="0">
      <w:start w:val="1"/>
      <w:numFmt w:val="bullet"/>
      <w:lvlText w:val="-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-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8042D3"/>
    <w:multiLevelType w:val="hybridMultilevel"/>
    <w:tmpl w:val="A18850CE"/>
    <w:lvl w:ilvl="0" w:tplc="2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D53E50"/>
    <w:multiLevelType w:val="multilevel"/>
    <w:tmpl w:val="AF84D75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%2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13469A"/>
    <w:multiLevelType w:val="hybridMultilevel"/>
    <w:tmpl w:val="A18850CE"/>
    <w:lvl w:ilvl="0" w:tplc="2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0D4"/>
    <w:rsid w:val="006E00B4"/>
    <w:rsid w:val="007828A6"/>
    <w:rsid w:val="00864DA1"/>
    <w:rsid w:val="00A7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60D4"/>
    <w:pPr>
      <w:spacing w:after="0"/>
    </w:pPr>
  </w:style>
  <w:style w:type="paragraph" w:styleId="Heading1">
    <w:name w:val="heading 1"/>
    <w:basedOn w:val="Normal"/>
    <w:rsid w:val="00A760D4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A760D4"/>
    <w:rPr>
      <w:vertAlign w:val="superscript"/>
    </w:rPr>
  </w:style>
  <w:style w:type="paragraph" w:customStyle="1" w:styleId="indented">
    <w:name w:val="indented"/>
    <w:basedOn w:val="Normal"/>
    <w:rsid w:val="00A760D4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rsid w:val="00A760D4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rsid w:val="00A760D4"/>
    <w:pPr>
      <w:spacing w:before="100" w:after="100"/>
      <w:jc w:val="both"/>
    </w:pPr>
  </w:style>
  <w:style w:type="paragraph" w:customStyle="1" w:styleId="leftaligned">
    <w:name w:val="left_aligned"/>
    <w:basedOn w:val="Normal"/>
    <w:rsid w:val="00A760D4"/>
  </w:style>
  <w:style w:type="paragraph" w:customStyle="1" w:styleId="rightaligned">
    <w:name w:val="right_aligned"/>
    <w:basedOn w:val="Normal"/>
    <w:rsid w:val="00A760D4"/>
    <w:pPr>
      <w:jc w:val="right"/>
    </w:pPr>
  </w:style>
  <w:style w:type="paragraph" w:customStyle="1" w:styleId="centeraligned">
    <w:name w:val="center_aligned"/>
    <w:basedOn w:val="Normal"/>
    <w:rsid w:val="00A760D4"/>
    <w:pPr>
      <w:jc w:val="center"/>
    </w:pPr>
  </w:style>
  <w:style w:type="paragraph" w:customStyle="1" w:styleId="justify">
    <w:name w:val="justify"/>
    <w:basedOn w:val="Normal"/>
    <w:rsid w:val="00A760D4"/>
    <w:pPr>
      <w:jc w:val="both"/>
    </w:pPr>
  </w:style>
  <w:style w:type="paragraph" w:customStyle="1" w:styleId="Header1">
    <w:name w:val="Header1"/>
    <w:basedOn w:val="Normal"/>
    <w:rsid w:val="00A760D4"/>
    <w:pPr>
      <w:ind w:right="5000"/>
    </w:pPr>
  </w:style>
  <w:style w:type="paragraph" w:customStyle="1" w:styleId="heading11">
    <w:name w:val="heading 11"/>
    <w:basedOn w:val="Normal"/>
    <w:rsid w:val="00A760D4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rsid w:val="00A760D4"/>
    <w:pPr>
      <w:jc w:val="center"/>
    </w:pPr>
    <w:rPr>
      <w:b/>
      <w:bCs/>
    </w:rPr>
  </w:style>
  <w:style w:type="paragraph" w:customStyle="1" w:styleId="heading13">
    <w:name w:val="heading 13"/>
    <w:basedOn w:val="Normal"/>
    <w:rsid w:val="00A760D4"/>
    <w:pPr>
      <w:spacing w:after="200"/>
      <w:jc w:val="center"/>
    </w:pPr>
    <w:rPr>
      <w:b/>
      <w:bCs/>
    </w:rPr>
  </w:style>
  <w:style w:type="table" w:customStyle="1" w:styleId="df1d3085">
    <w:name w:val="df1d3085"/>
    <w:uiPriority w:val="99"/>
    <w:rsid w:val="00A760D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00eeb509">
    <w:name w:val="00eeb509"/>
    <w:uiPriority w:val="99"/>
    <w:rsid w:val="00A760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">
    <w:name w:val="pStyle"/>
    <w:qFormat/>
    <w:rsid w:val="00864DA1"/>
    <w:pPr>
      <w:spacing w:after="0"/>
      <w:jc w:val="both"/>
    </w:pPr>
    <w:rPr>
      <w:sz w:val="20"/>
      <w:szCs w:val="20"/>
      <w:lang/>
    </w:rPr>
  </w:style>
  <w:style w:type="paragraph" w:customStyle="1" w:styleId="pStyle2">
    <w:name w:val="pStyle2"/>
    <w:qFormat/>
    <w:rsid w:val="00864DA1"/>
    <w:pPr>
      <w:spacing w:after="0"/>
      <w:ind w:firstLine="720"/>
      <w:jc w:val="both"/>
    </w:pPr>
    <w:rPr>
      <w:sz w:val="20"/>
      <w:szCs w:val="20"/>
      <w:lang/>
    </w:rPr>
  </w:style>
  <w:style w:type="paragraph" w:customStyle="1" w:styleId="pStyle4">
    <w:name w:val="pStyle4"/>
    <w:qFormat/>
    <w:rsid w:val="00864DA1"/>
    <w:pPr>
      <w:spacing w:after="0"/>
      <w:jc w:val="center"/>
    </w:pPr>
    <w:rPr>
      <w:sz w:val="22"/>
      <w:szCs w:val="22"/>
      <w:lang w:val="sr-Latn-BA"/>
    </w:rPr>
  </w:style>
  <w:style w:type="paragraph" w:customStyle="1" w:styleId="ListParagraph1">
    <w:name w:val="List Paragraph1"/>
    <w:basedOn w:val="Normal"/>
    <w:uiPriority w:val="34"/>
    <w:qFormat/>
    <w:rsid w:val="00864DA1"/>
    <w:pPr>
      <w:spacing w:line="24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Blokade</dc:creator>
  <cp:lastModifiedBy>Blokade</cp:lastModifiedBy>
  <cp:revision>4</cp:revision>
  <cp:lastPrinted>2023-04-04T10:28:00Z</cp:lastPrinted>
  <dcterms:created xsi:type="dcterms:W3CDTF">2023-04-04T10:27:00Z</dcterms:created>
  <dcterms:modified xsi:type="dcterms:W3CDTF">2023-04-04T10:31:00Z</dcterms:modified>
</cp:coreProperties>
</file>