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e4c35c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734BDF">
        <w:trPr>
          <w:trHeight w:val="14"/>
        </w:trPr>
        <w:tc>
          <w:tcPr>
            <w:tcW w:w="1700" w:type="dxa"/>
          </w:tcPr>
          <w:p w:rsidR="00734BDF" w:rsidRDefault="004262C8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734BDF" w:rsidRDefault="004262C8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BDF" w:rsidRDefault="004262C8">
      <w:r>
        <w:rPr>
          <w:b/>
          <w:bCs/>
        </w:rPr>
        <w:t>РЕПУБЛИКА СРБИЈА</w:t>
      </w:r>
    </w:p>
    <w:p w:rsidR="00734BDF" w:rsidRDefault="004262C8">
      <w:r>
        <w:rPr>
          <w:b/>
          <w:bCs/>
        </w:rPr>
        <w:t>ЈАВНИ ИЗВРШИТЕЉ ДР ЖАРКО ДИМИТРИЈЕВИЋ</w:t>
      </w:r>
    </w:p>
    <w:p w:rsidR="00734BDF" w:rsidRDefault="004262C8">
      <w:r>
        <w:rPr>
          <w:b/>
          <w:bCs/>
        </w:rPr>
        <w:t>Ниш, Мачванска 1</w:t>
      </w:r>
    </w:p>
    <w:p w:rsidR="00734BDF" w:rsidRDefault="004262C8">
      <w:pPr>
        <w:pStyle w:val="pStyle"/>
      </w:pPr>
      <w:r>
        <w:rPr>
          <w:b/>
          <w:sz w:val="24"/>
          <w:szCs w:val="24"/>
        </w:rPr>
        <w:t>Број предмета: ИИ 452/22</w:t>
      </w:r>
    </w:p>
    <w:p w:rsidR="00734BDF" w:rsidRDefault="004262C8">
      <w:pPr>
        <w:pStyle w:val="pStyle"/>
      </w:pPr>
      <w:r>
        <w:rPr>
          <w:b/>
          <w:sz w:val="24"/>
          <w:szCs w:val="24"/>
        </w:rPr>
        <w:t>Идент. број предмета: 50-01-00452-22-0025</w:t>
      </w:r>
    </w:p>
    <w:p w:rsidR="00734BDF" w:rsidRDefault="004262C8">
      <w:pPr>
        <w:pStyle w:val="pStyle"/>
      </w:pPr>
      <w:r>
        <w:rPr>
          <w:b/>
          <w:sz w:val="24"/>
          <w:szCs w:val="24"/>
        </w:rPr>
        <w:t>Дана: 10.04.2023. године</w:t>
      </w:r>
    </w:p>
    <w:p w:rsidR="00734BDF" w:rsidRDefault="00734BDF"/>
    <w:p w:rsidR="00734BDF" w:rsidRDefault="004262C8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734BDF" w:rsidRDefault="004262C8">
      <w:pPr>
        <w:pStyle w:val="pStyle2"/>
      </w:pPr>
      <w:r>
        <w:rPr>
          <w:b/>
          <w:sz w:val="24"/>
          <w:szCs w:val="24"/>
        </w:rPr>
        <w:t xml:space="preserve">Извршног повериоца: Љиљана Младеновић, Врање, ул. Филипа Филиповића бр. 31, ЈМБГ 2505962747010, број рачуна 265-400152-23 који се води код банке RAIFFEISEN БАНКА А.Д. БЕОГРАД, </w:t>
      </w:r>
      <w:r>
        <w:rPr>
          <w:sz w:val="24"/>
          <w:szCs w:val="24"/>
        </w:rPr>
        <w:t>кога заступа адв. Милош Д. Младеновић, Врање, Цара Душана 7А,  по пуномоћју у сп</w:t>
      </w:r>
      <w:r>
        <w:rPr>
          <w:sz w:val="24"/>
          <w:szCs w:val="24"/>
        </w:rPr>
        <w:t xml:space="preserve">исима предмета против </w:t>
      </w:r>
    </w:p>
    <w:p w:rsidR="00734BDF" w:rsidRDefault="004262C8" w:rsidP="00D14673">
      <w:pPr>
        <w:pStyle w:val="indented"/>
        <w:ind w:firstLineChars="308" w:firstLine="742"/>
      </w:pPr>
      <w:r>
        <w:rPr>
          <w:b/>
        </w:rPr>
        <w:t xml:space="preserve">Извршног дужника: Предраг Динчић, Мраморско брдо, ЈМБГ 1709968972033, </w:t>
      </w:r>
      <w:r>
        <w:t>број рачуна 205-90320061060-40 који се води код банке NLB Komercijalna banka AD Beograd, број рачуна 205-9001005457008-48 који се води код банке NLB Komercijalna b</w:t>
      </w:r>
      <w:r>
        <w:t>anka AD Beograd, број рачуна 205-90310043811-87 који се води код банке NLB Komercijalna banka AD Beograd, број рачуна 265-0500000076485-76 који се води код банке RAIFFEISEN БАНКА А.Д. БЕОГРАД, број рачуна 200-530192326-41 који се води код банке БАНКА ПОШТА</w:t>
      </w:r>
      <w:r>
        <w:t xml:space="preserve">НСКА ШТЕДИОНИЦА А.Д. БЕОГРАД, </w:t>
      </w:r>
      <w:r>
        <w:rPr>
          <w:b/>
        </w:rPr>
        <w:t xml:space="preserve">ИД (П-8074/23042012) </w:t>
      </w:r>
      <w:r>
        <w:t>ради спровођења извршења одређеног Решењем о извршењу Основног суда у Нишу 3Ии-4431/2022 од 19.05.2022. године</w:t>
      </w:r>
      <w:r>
        <w:t xml:space="preserve">, </w:t>
      </w:r>
      <w:r>
        <w:rPr>
          <w:sz w:val="22"/>
          <w:szCs w:val="22"/>
        </w:rPr>
        <w:t>у складу са члановима 23., 185. и 189. ЗИО (</w:t>
      </w:r>
      <w:r>
        <w:rPr>
          <w:rFonts w:eastAsia="SimSun"/>
          <w:sz w:val="22"/>
          <w:szCs w:val="22"/>
          <w:lang w:eastAsia="zh-CN"/>
        </w:rPr>
        <w:t>"Службени гласник РС", бр. 106/2015, 106/2016 - А</w:t>
      </w:r>
      <w:r>
        <w:rPr>
          <w:rFonts w:eastAsia="SimSun"/>
          <w:sz w:val="22"/>
          <w:szCs w:val="22"/>
          <w:lang w:eastAsia="zh-CN"/>
        </w:rPr>
        <w:t>утентично тумачење, 113/2017 - Аутентично тумачење, 54/2019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t>10.04.2023. године, доноси</w:t>
      </w:r>
    </w:p>
    <w:p w:rsidR="00734BDF" w:rsidRDefault="00734BDF"/>
    <w:p w:rsidR="00734BDF" w:rsidRDefault="004262C8">
      <w:pPr>
        <w:ind w:firstLine="708"/>
        <w:rPr>
          <w:rFonts w:eastAsia="Lucida Sans Unicode"/>
          <w:b/>
          <w:bCs/>
          <w:sz w:val="22"/>
          <w:szCs w:val="22"/>
          <w:lang w:eastAsia="sr-Latn-CS"/>
        </w:rPr>
      </w:pPr>
      <w:r>
        <w:rPr>
          <w:rFonts w:eastAsia="Lucida Sans Unicode"/>
          <w:b/>
          <w:bCs/>
          <w:sz w:val="22"/>
          <w:szCs w:val="22"/>
          <w:lang w:eastAsia="sr-Latn-CS"/>
        </w:rPr>
        <w:t>ЗАКЉУЧАК О ПРОДАЈИ ПОКРЕТНИХ СТВАРИ НЕПОСРЕДНОМ ПОГОДБОМ</w:t>
      </w:r>
    </w:p>
    <w:p w:rsidR="00734BDF" w:rsidRDefault="00734BDF"/>
    <w:p w:rsidR="00734BDF" w:rsidRDefault="004262C8">
      <w:pPr>
        <w:pStyle w:val="pStyle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:rsidR="00734BDF" w:rsidRDefault="004262C8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b/>
          <w:sz w:val="22"/>
          <w:szCs w:val="22"/>
        </w:rPr>
        <w:t xml:space="preserve">ОДРЕЂУЈЕ СЕ ПРОДАЈА НЕПОСРЕДНОМ ПОГОДБОМ </w:t>
      </w:r>
      <w:r>
        <w:rPr>
          <w:rFonts w:eastAsia="Lucida Sans Unicode"/>
          <w:sz w:val="22"/>
          <w:szCs w:val="22"/>
          <w:lang w:eastAsia="sr-Latn-CS"/>
        </w:rPr>
        <w:t>покретних</w:t>
      </w:r>
      <w:r>
        <w:rPr>
          <w:rFonts w:eastAsia="Lucida Sans Unicode"/>
          <w:sz w:val="22"/>
          <w:szCs w:val="22"/>
          <w:lang w:val="sr-Latn-CS" w:eastAsia="sr-Latn-CS"/>
        </w:rPr>
        <w:t xml:space="preserve"> ствари извршногдужника</w:t>
      </w:r>
      <w:r>
        <w:rPr>
          <w:rFonts w:eastAsia="Lucida Sans Unicode"/>
          <w:lang w:val="sr-Latn-CS" w:eastAsia="sr-Latn-CS"/>
        </w:rPr>
        <w:t>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>03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11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</w:t>
      </w:r>
      <w:r>
        <w:rPr>
          <w:rFonts w:eastAsia="Lucida Sans Unicode"/>
          <w:lang w:eastAsia="sr-Latn-CS"/>
        </w:rPr>
        <w:t xml:space="preserve"> констатовано записни</w:t>
      </w:r>
      <w:r>
        <w:rPr>
          <w:rFonts w:eastAsia="Lucida Sans Unicode"/>
          <w:lang w:eastAsia="sr-Latn-CS"/>
        </w:rPr>
        <w:t>ком</w:t>
      </w:r>
      <w:r>
        <w:rPr>
          <w:rFonts w:eastAsia="Lucida Sans Unicode"/>
          <w:lang w:eastAsia="sr-Latn-CS"/>
        </w:rPr>
        <w:t xml:space="preserve"> И.И</w:t>
      </w:r>
      <w:r>
        <w:rPr>
          <w:rFonts w:eastAsia="Lucida Sans Unicode"/>
          <w:lang w:eastAsia="sr-Latn-CS"/>
        </w:rPr>
        <w:t>452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03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11</w:t>
      </w:r>
      <w:r>
        <w:rPr>
          <w:rFonts w:eastAsia="Lucida Sans Unicode"/>
          <w:lang w:eastAsia="sr-Latn-CS"/>
        </w:rPr>
        <w:t>.2022. године,</w:t>
      </w:r>
      <w:r>
        <w:rPr>
          <w:rFonts w:eastAsia="Lucida Sans Unicode"/>
          <w:lang w:eastAsia="sr-Latn-CS"/>
        </w:rPr>
        <w:t xml:space="preserve"> чија је вредност процењена записником</w:t>
      </w:r>
      <w:r>
        <w:rPr>
          <w:rFonts w:eastAsia="Lucida Sans Unicode"/>
          <w:lang w:eastAsia="sr-Latn-CS"/>
        </w:rPr>
        <w:t xml:space="preserve"> ИИ </w:t>
      </w:r>
      <w:r>
        <w:rPr>
          <w:rFonts w:eastAsia="Lucida Sans Unicode"/>
          <w:lang w:eastAsia="sr-Latn-CS"/>
        </w:rPr>
        <w:t>452</w:t>
      </w:r>
      <w:r>
        <w:rPr>
          <w:rFonts w:eastAsia="Lucida Sans Unicode"/>
          <w:lang w:eastAsia="sr-Latn-CS"/>
        </w:rPr>
        <w:t>/2022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18</w:t>
      </w:r>
      <w:r>
        <w:rPr>
          <w:rFonts w:eastAsia="Lucida Sans Unicode"/>
          <w:lang w:eastAsia="sr-Latn-CS"/>
        </w:rPr>
        <w:t>.11.2022. 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734BDF" w:rsidRDefault="00734BDF">
      <w:pPr>
        <w:ind w:firstLine="708"/>
      </w:pPr>
    </w:p>
    <w:p w:rsidR="00734BDF" w:rsidRDefault="004262C8">
      <w:pPr>
        <w:tabs>
          <w:tab w:val="left" w:pos="720"/>
        </w:tabs>
        <w:jc w:val="both"/>
        <w:rPr>
          <w:lang/>
        </w:rPr>
      </w:pPr>
      <w:r>
        <w:tab/>
      </w:r>
      <w:r>
        <w:rPr>
          <w:lang/>
        </w:rPr>
        <w:t>1.</w:t>
      </w:r>
      <w:r>
        <w:rPr>
          <w:lang/>
        </w:rPr>
        <w:t>Комода за ТВ</w:t>
      </w:r>
      <w:r>
        <w:rPr>
          <w:lang/>
        </w:rPr>
        <w:t xml:space="preserve">, </w:t>
      </w:r>
      <w:r>
        <w:rPr>
          <w:lang/>
        </w:rPr>
        <w:t xml:space="preserve"> процењ</w:t>
      </w:r>
      <w:r>
        <w:rPr>
          <w:lang/>
        </w:rPr>
        <w:t>ена</w:t>
      </w:r>
      <w:r>
        <w:rPr>
          <w:lang/>
        </w:rPr>
        <w:t xml:space="preserve"> на износ од 1</w:t>
      </w:r>
      <w:r>
        <w:rPr>
          <w:lang/>
        </w:rPr>
        <w:t>2.</w:t>
      </w:r>
      <w:r>
        <w:rPr>
          <w:lang/>
        </w:rPr>
        <w:t>000,00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t xml:space="preserve">2. </w:t>
      </w:r>
      <w:r>
        <w:rPr>
          <w:lang/>
        </w:rPr>
        <w:t>TV „VIVAX“</w:t>
      </w:r>
      <w:r>
        <w:rPr>
          <w:lang/>
        </w:rPr>
        <w:t>, процењ</w:t>
      </w:r>
      <w:r>
        <w:rPr>
          <w:lang/>
        </w:rPr>
        <w:t>ен</w:t>
      </w:r>
      <w:r>
        <w:rPr>
          <w:lang/>
        </w:rPr>
        <w:t xml:space="preserve"> на износ од 3</w:t>
      </w:r>
      <w:r>
        <w:rPr>
          <w:lang/>
        </w:rPr>
        <w:t>.</w:t>
      </w:r>
      <w:r>
        <w:rPr>
          <w:lang/>
        </w:rPr>
        <w:t>000,00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 xml:space="preserve">3. </w:t>
      </w:r>
      <w:r>
        <w:rPr>
          <w:lang/>
        </w:rPr>
        <w:t>Тр</w:t>
      </w:r>
      <w:r>
        <w:rPr>
          <w:lang/>
        </w:rPr>
        <w:t>пезаријски сто,</w:t>
      </w:r>
      <w:r>
        <w:rPr>
          <w:lang/>
        </w:rPr>
        <w:t>процењ</w:t>
      </w:r>
      <w:r>
        <w:rPr>
          <w:lang/>
        </w:rPr>
        <w:t xml:space="preserve">ен </w:t>
      </w:r>
      <w:r>
        <w:rPr>
          <w:lang/>
        </w:rPr>
        <w:t xml:space="preserve">на износ од  </w:t>
      </w:r>
      <w:r>
        <w:rPr>
          <w:lang/>
        </w:rPr>
        <w:t>8</w:t>
      </w:r>
      <w:r>
        <w:rPr>
          <w:lang/>
        </w:rPr>
        <w:t>.0</w:t>
      </w:r>
      <w:r>
        <w:rPr>
          <w:lang/>
        </w:rPr>
        <w:t>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t xml:space="preserve">4. </w:t>
      </w:r>
      <w:r>
        <w:rPr>
          <w:lang/>
        </w:rPr>
        <w:t>Кухиња са висећим делом и судопером</w:t>
      </w:r>
      <w:r>
        <w:rPr>
          <w:lang/>
        </w:rPr>
        <w:t xml:space="preserve"> процењ</w:t>
      </w:r>
      <w:r>
        <w:rPr>
          <w:lang/>
        </w:rPr>
        <w:t>ена</w:t>
      </w:r>
      <w:r>
        <w:rPr>
          <w:lang/>
        </w:rPr>
        <w:t xml:space="preserve"> на износ од </w:t>
      </w:r>
      <w:r>
        <w:rPr>
          <w:lang/>
        </w:rPr>
        <w:t>12</w:t>
      </w:r>
      <w:r>
        <w:rPr>
          <w:lang/>
        </w:rPr>
        <w:t>.000,00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5.</w:t>
      </w:r>
      <w:r>
        <w:rPr>
          <w:lang/>
        </w:rPr>
        <w:t>Столица трпезаријска, 4 комада,</w:t>
      </w:r>
      <w:r>
        <w:rPr>
          <w:lang/>
        </w:rPr>
        <w:t>процењ</w:t>
      </w:r>
      <w:r>
        <w:rPr>
          <w:lang/>
        </w:rPr>
        <w:t>ене</w:t>
      </w:r>
      <w:r>
        <w:rPr>
          <w:lang/>
        </w:rPr>
        <w:t xml:space="preserve"> на износ од </w:t>
      </w:r>
      <w:r>
        <w:rPr>
          <w:lang/>
        </w:rPr>
        <w:t xml:space="preserve">по </w:t>
      </w:r>
      <w:r>
        <w:rPr>
          <w:lang/>
        </w:rPr>
        <w:t>3</w:t>
      </w:r>
      <w:r>
        <w:rPr>
          <w:lang/>
        </w:rPr>
        <w:t>.</w:t>
      </w:r>
      <w:r>
        <w:rPr>
          <w:lang/>
        </w:rPr>
        <w:t>0</w:t>
      </w:r>
      <w:r>
        <w:rPr>
          <w:lang/>
        </w:rPr>
        <w:t>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6</w:t>
      </w:r>
      <w:r>
        <w:rPr>
          <w:lang/>
        </w:rPr>
        <w:t xml:space="preserve">. </w:t>
      </w:r>
      <w:r>
        <w:rPr>
          <w:lang/>
        </w:rPr>
        <w:t>Клуб сто,</w:t>
      </w:r>
      <w:r>
        <w:rPr>
          <w:lang/>
        </w:rPr>
        <w:t>процењ</w:t>
      </w:r>
      <w:r>
        <w:rPr>
          <w:lang/>
        </w:rPr>
        <w:t>ен</w:t>
      </w:r>
      <w:r>
        <w:rPr>
          <w:lang/>
        </w:rPr>
        <w:t xml:space="preserve"> на износ од </w:t>
      </w:r>
      <w:r>
        <w:rPr>
          <w:lang/>
        </w:rPr>
        <w:t>4.0</w:t>
      </w:r>
      <w:r>
        <w:rPr>
          <w:lang/>
        </w:rPr>
        <w:t>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7.</w:t>
      </w:r>
      <w:r>
        <w:rPr>
          <w:lang/>
        </w:rPr>
        <w:t xml:space="preserve"> Витрина,</w:t>
      </w:r>
      <w:r>
        <w:rPr>
          <w:lang/>
        </w:rPr>
        <w:t>процењ</w:t>
      </w:r>
      <w:r>
        <w:rPr>
          <w:lang/>
        </w:rPr>
        <w:t>ена</w:t>
      </w:r>
      <w:r>
        <w:rPr>
          <w:lang/>
        </w:rPr>
        <w:t xml:space="preserve"> на износ од </w:t>
      </w:r>
      <w:r>
        <w:rPr>
          <w:lang/>
        </w:rPr>
        <w:t>16.0</w:t>
      </w:r>
      <w:r>
        <w:rPr>
          <w:lang/>
        </w:rPr>
        <w:t>00,00 динара</w:t>
      </w:r>
      <w:r>
        <w:rPr>
          <w:lang/>
        </w:rPr>
        <w:t>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8</w:t>
      </w:r>
      <w:r>
        <w:rPr>
          <w:lang/>
        </w:rPr>
        <w:t>. Комода од пластике, 4 фиоке, 2 комада, процењене на износ од по 1.500,00 динара,</w:t>
      </w:r>
    </w:p>
    <w:p w:rsidR="00734BDF" w:rsidRDefault="004262C8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 xml:space="preserve">9. </w:t>
      </w:r>
      <w:r>
        <w:rPr>
          <w:lang/>
        </w:rPr>
        <w:t>Веш машина „</w:t>
      </w:r>
      <w:r>
        <w:rPr>
          <w:lang/>
        </w:rPr>
        <w:t xml:space="preserve">EUROTECH“, </w:t>
      </w:r>
      <w:r>
        <w:rPr>
          <w:lang/>
        </w:rPr>
        <w:t>процењ</w:t>
      </w:r>
      <w:r>
        <w:rPr>
          <w:lang/>
        </w:rPr>
        <w:t xml:space="preserve">ена </w:t>
      </w:r>
      <w:r>
        <w:rPr>
          <w:lang/>
        </w:rPr>
        <w:t xml:space="preserve">на износ од </w:t>
      </w:r>
      <w:r>
        <w:rPr>
          <w:lang/>
        </w:rPr>
        <w:t>14</w:t>
      </w:r>
      <w:r>
        <w:rPr>
          <w:lang/>
        </w:rPr>
        <w:t>.0</w:t>
      </w:r>
      <w:r>
        <w:rPr>
          <w:lang/>
        </w:rPr>
        <w:t>00,00 динара</w:t>
      </w:r>
      <w:r>
        <w:rPr>
          <w:lang/>
        </w:rPr>
        <w:t>,</w:t>
      </w:r>
    </w:p>
    <w:p w:rsidR="00734BDF" w:rsidRDefault="00734BDF">
      <w:pPr>
        <w:ind w:firstLine="708"/>
      </w:pPr>
    </w:p>
    <w:p w:rsidR="00734BDF" w:rsidRDefault="004262C8">
      <w:pPr>
        <w:ind w:firstLine="708"/>
        <w:jc w:val="both"/>
        <w:rPr>
          <w:b/>
          <w:bCs/>
        </w:rPr>
      </w:pPr>
      <w:r>
        <w:rPr>
          <w:b/>
          <w:bCs/>
        </w:rPr>
        <w:t>ПО ИЗБОРУ ИЗВРШНОГ ПОВЕРИОЦА, НАКОН ДВЕ НЕУСПЕЛЕ ПРО</w:t>
      </w:r>
      <w:r>
        <w:rPr>
          <w:b/>
          <w:bCs/>
        </w:rPr>
        <w:t>ДАЈЕ.</w:t>
      </w:r>
    </w:p>
    <w:p w:rsidR="00734BDF" w:rsidRDefault="00734BDF">
      <w:pPr>
        <w:jc w:val="both"/>
        <w:rPr>
          <w:b/>
          <w:bCs/>
        </w:rPr>
      </w:pPr>
    </w:p>
    <w:p w:rsidR="00734BDF" w:rsidRDefault="004262C8">
      <w:pPr>
        <w:pStyle w:val="pStyle2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</w:p>
    <w:p w:rsidR="00734BDF" w:rsidRDefault="004262C8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Уговор о продаји непосредном погодбом може бити закључен у року од 30 дана од дана доношења овог Закључка.</w:t>
      </w:r>
    </w:p>
    <w:p w:rsidR="00734BDF" w:rsidRDefault="00734BDF">
      <w:pPr>
        <w:pStyle w:val="pStyle2"/>
        <w:ind w:firstLine="0"/>
        <w:rPr>
          <w:sz w:val="24"/>
          <w:szCs w:val="24"/>
        </w:rPr>
      </w:pPr>
    </w:p>
    <w:p w:rsidR="00734BDF" w:rsidRDefault="00734BDF">
      <w:pPr>
        <w:pStyle w:val="pStyle2"/>
        <w:ind w:firstLine="0"/>
        <w:rPr>
          <w:sz w:val="24"/>
          <w:szCs w:val="24"/>
        </w:rPr>
      </w:pPr>
    </w:p>
    <w:p w:rsidR="00734BDF" w:rsidRDefault="00734BDF">
      <w:pPr>
        <w:pStyle w:val="pStyle2"/>
        <w:ind w:firstLine="0"/>
        <w:rPr>
          <w:sz w:val="24"/>
          <w:szCs w:val="24"/>
        </w:rPr>
      </w:pPr>
    </w:p>
    <w:p w:rsidR="00734BDF" w:rsidRDefault="004262C8">
      <w:pPr>
        <w:pStyle w:val="pStyle2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</w:p>
    <w:p w:rsidR="00734BDF" w:rsidRDefault="004262C8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Цена покретних ствари се слободно уговара, а рок за плаћање цене не може бити дужи од 15 дана од дана доношења закључка о дољевивању</w:t>
      </w:r>
      <w:r>
        <w:rPr>
          <w:sz w:val="24"/>
          <w:szCs w:val="24"/>
        </w:rPr>
        <w:t xml:space="preserve"> покретних ствари.</w:t>
      </w:r>
    </w:p>
    <w:p w:rsidR="00734BDF" w:rsidRDefault="00734BDF">
      <w:pPr>
        <w:pStyle w:val="pStyle2"/>
        <w:ind w:firstLine="0"/>
        <w:rPr>
          <w:b/>
          <w:bCs/>
          <w:sz w:val="24"/>
          <w:szCs w:val="24"/>
        </w:rPr>
      </w:pPr>
    </w:p>
    <w:p w:rsidR="00734BDF" w:rsidRDefault="004262C8">
      <w:pPr>
        <w:pStyle w:val="pStyle2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 </w:t>
      </w:r>
    </w:p>
    <w:p w:rsidR="00734BDF" w:rsidRDefault="004262C8">
      <w:pPr>
        <w:pStyle w:val="pStyle2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Ако се покретне ствари продају непосредном погодбом, извршни поверилац сматра се намиреним у висини постигнуте цене, али ако је она нижа од 30% процењене вредности покретне ствари, сматра се намиреним у износу од 30% од процењене </w:t>
      </w:r>
      <w:r>
        <w:rPr>
          <w:sz w:val="24"/>
          <w:szCs w:val="24"/>
        </w:rPr>
        <w:t>вредности.</w:t>
      </w:r>
    </w:p>
    <w:p w:rsidR="00734BDF" w:rsidRDefault="00734BDF">
      <w:pPr>
        <w:pStyle w:val="pStyle2"/>
        <w:ind w:firstLine="0"/>
        <w:rPr>
          <w:b/>
          <w:bCs/>
          <w:sz w:val="24"/>
          <w:szCs w:val="24"/>
        </w:rPr>
      </w:pPr>
    </w:p>
    <w:p w:rsidR="00734BDF" w:rsidRDefault="004262C8">
      <w:pPr>
        <w:pStyle w:val="pStyle2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</w:p>
    <w:p w:rsidR="00734BDF" w:rsidRDefault="004262C8">
      <w:pPr>
        <w:pStyle w:val="pStyle2"/>
        <w:ind w:firstLine="700"/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Позивају се заинтересовани купци да најкасније </w:t>
      </w:r>
      <w:r>
        <w:rPr>
          <w:sz w:val="24"/>
          <w:szCs w:val="24"/>
        </w:rPr>
        <w:t>09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године до 16 часова доставе споразум са извршним повериоцем о цени и року за плаћање цене, као и доказ о </w:t>
      </w:r>
      <w:r>
        <w:rPr>
          <w:sz w:val="24"/>
          <w:szCs w:val="24"/>
          <w:lang w:val="sr-Latn-CS"/>
        </w:rPr>
        <w:t>уплат</w:t>
      </w:r>
      <w:r>
        <w:rPr>
          <w:sz w:val="24"/>
          <w:szCs w:val="24"/>
        </w:rPr>
        <w:t>и</w:t>
      </w:r>
      <w:r>
        <w:rPr>
          <w:sz w:val="24"/>
          <w:szCs w:val="24"/>
          <w:lang w:val="sr-Latn-CS"/>
        </w:rPr>
        <w:t xml:space="preserve"> на име јемства 1</w:t>
      </w:r>
      <w:r>
        <w:rPr>
          <w:sz w:val="24"/>
          <w:szCs w:val="24"/>
        </w:rPr>
        <w:t>5</w:t>
      </w:r>
      <w:r>
        <w:rPr>
          <w:sz w:val="24"/>
          <w:szCs w:val="24"/>
          <w:lang w:val="sr-Latn-CS"/>
        </w:rPr>
        <w:t xml:space="preserve">% од </w:t>
      </w:r>
      <w:r>
        <w:rPr>
          <w:sz w:val="24"/>
          <w:szCs w:val="24"/>
          <w:lang w:val="sr-Cyrl-CS"/>
        </w:rPr>
        <w:t>процењене вредности ствари</w:t>
      </w:r>
      <w:r>
        <w:rPr>
          <w:sz w:val="24"/>
          <w:szCs w:val="24"/>
          <w:lang w:val="sr-Latn-CS"/>
        </w:rPr>
        <w:t>, на</w:t>
      </w:r>
      <w:r>
        <w:rPr>
          <w:sz w:val="24"/>
          <w:szCs w:val="24"/>
        </w:rPr>
        <w:t xml:space="preserve"> наменски </w:t>
      </w:r>
      <w:r>
        <w:rPr>
          <w:sz w:val="24"/>
          <w:szCs w:val="24"/>
          <w:lang w:val="sr-Cyrl-CS"/>
        </w:rPr>
        <w:t xml:space="preserve">рачун </w:t>
      </w:r>
      <w:r>
        <w:rPr>
          <w:sz w:val="24"/>
          <w:szCs w:val="24"/>
        </w:rPr>
        <w:t>ј</w:t>
      </w:r>
      <w:r>
        <w:rPr>
          <w:sz w:val="24"/>
          <w:szCs w:val="24"/>
          <w:lang w:val="sr-Cyrl-CS"/>
        </w:rPr>
        <w:t>авног извршитеља број</w:t>
      </w:r>
      <w:r>
        <w:rPr>
          <w:sz w:val="24"/>
          <w:szCs w:val="24"/>
        </w:rPr>
        <w:t>160-406052-46</w:t>
      </w:r>
      <w:r>
        <w:rPr>
          <w:sz w:val="24"/>
          <w:szCs w:val="24"/>
          <w:lang w:val="sr-Latn-CS"/>
        </w:rPr>
        <w:t xml:space="preserve"> са </w:t>
      </w:r>
      <w:r>
        <w:rPr>
          <w:sz w:val="24"/>
          <w:szCs w:val="24"/>
        </w:rPr>
        <w:t>сврхом уплате:</w:t>
      </w:r>
      <w:r>
        <w:rPr>
          <w:sz w:val="24"/>
          <w:szCs w:val="24"/>
          <w:lang w:val="sr-Latn-CS"/>
        </w:rPr>
        <w:t xml:space="preserve"> „јемство за </w:t>
      </w:r>
      <w:r>
        <w:rPr>
          <w:b/>
          <w:sz w:val="24"/>
          <w:szCs w:val="24"/>
        </w:rPr>
        <w:t>И.И-</w:t>
      </w:r>
      <w:r>
        <w:rPr>
          <w:b/>
          <w:sz w:val="24"/>
          <w:szCs w:val="24"/>
        </w:rPr>
        <w:t>452</w:t>
      </w:r>
      <w:bookmarkStart w:id="0" w:name="_GoBack"/>
      <w:bookmarkEnd w:id="0"/>
      <w:r>
        <w:rPr>
          <w:b/>
          <w:sz w:val="24"/>
          <w:szCs w:val="24"/>
        </w:rPr>
        <w:t>/22</w:t>
      </w:r>
      <w:r>
        <w:rPr>
          <w:sz w:val="24"/>
          <w:szCs w:val="24"/>
          <w:lang w:val="sr-Latn-CS"/>
        </w:rPr>
        <w:t>”</w:t>
      </w:r>
      <w:r>
        <w:rPr>
          <w:sz w:val="24"/>
          <w:szCs w:val="24"/>
        </w:rPr>
        <w:t>.</w:t>
      </w:r>
    </w:p>
    <w:p w:rsidR="00734BDF" w:rsidRDefault="004262C8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У обзир ће бити узети искључиво понуде које пристигну у канцеларију јавног извршитеља до датума и часа из става 1. овог члана.</w:t>
      </w:r>
    </w:p>
    <w:p w:rsidR="00734BDF" w:rsidRDefault="004262C8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  <w:lang w:val="sr-Latn-CS"/>
        </w:rPr>
        <w:t xml:space="preserve">ица која претходно нису положила јемство не могу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акључити уговор о продаји непосредном погодбом</w:t>
      </w:r>
      <w:r>
        <w:rPr>
          <w:sz w:val="24"/>
          <w:szCs w:val="24"/>
          <w:lang w:val="sr-Latn-CS"/>
        </w:rPr>
        <w:t>.</w:t>
      </w:r>
    </w:p>
    <w:p w:rsidR="00734BDF" w:rsidRDefault="00734BDF">
      <w:pPr>
        <w:pStyle w:val="pStyle2"/>
        <w:ind w:firstLine="0"/>
        <w:rPr>
          <w:sz w:val="24"/>
          <w:szCs w:val="24"/>
        </w:rPr>
      </w:pPr>
    </w:p>
    <w:p w:rsidR="00734BDF" w:rsidRDefault="004262C8">
      <w:pPr>
        <w:ind w:firstLine="708"/>
        <w:jc w:val="both"/>
      </w:pPr>
      <w:r>
        <w:rPr>
          <w:b/>
        </w:rPr>
        <w:t>VI</w:t>
      </w:r>
    </w:p>
    <w:p w:rsidR="00734BDF" w:rsidRDefault="004262C8">
      <w:pPr>
        <w:jc w:val="both"/>
      </w:pPr>
      <w:r>
        <w:t>Купац покретних ствари не може бити, ни на јавном надметању,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</w:t>
      </w:r>
      <w:r>
        <w:t>вног извршитеља, свако друго лице које службено учествује у поступку, нити лице које је њихов крвни сродник у правој линији а у побочној линији до четвртог степена сродства, супружник, ванбрачни партнер или тазбински сродник до другог степена или старатељ,</w:t>
      </w:r>
      <w:r>
        <w:t xml:space="preserve"> усвојитељ, усвојеник или хранитељ.</w:t>
      </w:r>
      <w:r>
        <w:tab/>
      </w:r>
    </w:p>
    <w:p w:rsidR="00734BDF" w:rsidRDefault="00734BDF">
      <w:pPr>
        <w:jc w:val="both"/>
        <w:rPr>
          <w:lang w:val="sr-Latn-CS"/>
        </w:rPr>
      </w:pPr>
    </w:p>
    <w:p w:rsidR="00734BDF" w:rsidRDefault="004262C8">
      <w:pPr>
        <w:ind w:firstLine="708"/>
        <w:jc w:val="both"/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>I</w:t>
      </w:r>
    </w:p>
    <w:p w:rsidR="00734BDF" w:rsidRDefault="004262C8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адреси извршног дужника, уз договор са jавним извршитељем.</w:t>
      </w:r>
    </w:p>
    <w:p w:rsidR="00734BDF" w:rsidRDefault="00734BDF">
      <w:pPr>
        <w:ind w:firstLine="708"/>
        <w:jc w:val="both"/>
      </w:pPr>
    </w:p>
    <w:p w:rsidR="00734BDF" w:rsidRDefault="004262C8">
      <w:pPr>
        <w:ind w:firstLine="708"/>
        <w:jc w:val="both"/>
        <w:rPr>
          <w:b/>
          <w:bCs/>
        </w:rPr>
      </w:pPr>
      <w:r>
        <w:rPr>
          <w:b/>
          <w:bCs/>
        </w:rPr>
        <w:t>VIII</w:t>
      </w:r>
    </w:p>
    <w:p w:rsidR="00734BDF" w:rsidRDefault="004262C8">
      <w:pPr>
        <w:ind w:firstLine="708"/>
        <w:jc w:val="both"/>
      </w:pPr>
      <w:r>
        <w:t>Слике пописаних ствари се могу видети у канцеларији jавног извршитеља, на адреси Мачванска 1/2, Ниш сваког радног дана у в</w:t>
      </w:r>
      <w:r>
        <w:t>ремену од 08-16 часова</w:t>
      </w:r>
      <w:r>
        <w:t>.</w:t>
      </w:r>
    </w:p>
    <w:p w:rsidR="00734BDF" w:rsidRDefault="00734BDF">
      <w:pPr>
        <w:ind w:firstLine="708"/>
        <w:jc w:val="both"/>
      </w:pPr>
    </w:p>
    <w:p w:rsidR="00734BDF" w:rsidRDefault="004262C8">
      <w:pPr>
        <w:ind w:firstLine="708"/>
        <w:jc w:val="both"/>
        <w:rPr>
          <w:b/>
          <w:bCs/>
        </w:rPr>
      </w:pPr>
      <w:r>
        <w:rPr>
          <w:b/>
          <w:bCs/>
        </w:rPr>
        <w:t>IX</w:t>
      </w:r>
    </w:p>
    <w:p w:rsidR="00734BDF" w:rsidRDefault="004262C8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734BDF" w:rsidRDefault="00734BDF"/>
    <w:p w:rsidR="00734BDF" w:rsidRDefault="004262C8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 w:rsidR="00734BDF" w:rsidRDefault="004262C8">
      <w:pPr>
        <w:pStyle w:val="pStyle"/>
      </w:pPr>
      <w:r>
        <w:rPr>
          <w:sz w:val="24"/>
          <w:szCs w:val="24"/>
        </w:rPr>
        <w:t>Против овог закључка није дозвољен приговор</w:t>
      </w:r>
    </w:p>
    <w:p w:rsidR="00734BDF" w:rsidRDefault="00734BDF"/>
    <w:p w:rsidR="00734BDF" w:rsidRDefault="00734BDF"/>
    <w:p w:rsidR="00734BDF" w:rsidRDefault="00734BDF"/>
    <w:tbl>
      <w:tblPr>
        <w:tblStyle w:val="d924af5e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734BDF">
        <w:trPr>
          <w:trHeight w:val="14"/>
        </w:trPr>
        <w:tc>
          <w:tcPr>
            <w:tcW w:w="5669" w:type="dxa"/>
          </w:tcPr>
          <w:p w:rsidR="00734BDF" w:rsidRDefault="00734BDF">
            <w:pPr>
              <w:pStyle w:val="leftaligned"/>
            </w:pPr>
          </w:p>
        </w:tc>
        <w:tc>
          <w:tcPr>
            <w:tcW w:w="1133" w:type="dxa"/>
          </w:tcPr>
          <w:p w:rsidR="00734BDF" w:rsidRDefault="00734BDF">
            <w:pPr>
              <w:pStyle w:val="leftaligned"/>
            </w:pPr>
          </w:p>
        </w:tc>
        <w:tc>
          <w:tcPr>
            <w:tcW w:w="3401" w:type="dxa"/>
          </w:tcPr>
          <w:p w:rsidR="00734BDF" w:rsidRDefault="004262C8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734BDF" w:rsidRDefault="00734BDF">
            <w:pPr>
              <w:pStyle w:val="centeraligned"/>
            </w:pPr>
          </w:p>
          <w:p w:rsidR="00734BDF" w:rsidRDefault="004262C8">
            <w:pPr>
              <w:pStyle w:val="centeraligned"/>
            </w:pPr>
            <w:r>
              <w:t>__________________</w:t>
            </w:r>
          </w:p>
          <w:p w:rsidR="00734BDF" w:rsidRDefault="004262C8">
            <w:pPr>
              <w:pStyle w:val="centeraligned"/>
            </w:pPr>
            <w:r>
              <w:t>др Жарко Димитријевић</w:t>
            </w:r>
          </w:p>
        </w:tc>
      </w:tr>
    </w:tbl>
    <w:p w:rsidR="00734BDF" w:rsidRDefault="00734BDF"/>
    <w:sectPr w:rsidR="00734BDF" w:rsidSect="00734BDF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C8" w:rsidRDefault="004262C8" w:rsidP="00734BDF">
      <w:r>
        <w:separator/>
      </w:r>
    </w:p>
  </w:endnote>
  <w:endnote w:type="continuationSeparator" w:id="1">
    <w:p w:rsidR="004262C8" w:rsidRDefault="004262C8" w:rsidP="0073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C8" w:rsidRDefault="004262C8">
      <w:r>
        <w:separator/>
      </w:r>
    </w:p>
  </w:footnote>
  <w:footnote w:type="continuationSeparator" w:id="1">
    <w:p w:rsidR="004262C8" w:rsidRDefault="00426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DF"/>
    <w:rsid w:val="FFBF5EA2"/>
    <w:rsid w:val="004262C8"/>
    <w:rsid w:val="00734BDF"/>
    <w:rsid w:val="00D1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B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BDF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734BDF"/>
    <w:rPr>
      <w:vertAlign w:val="superscript"/>
    </w:rPr>
  </w:style>
  <w:style w:type="paragraph" w:customStyle="1" w:styleId="indented">
    <w:name w:val="indented"/>
    <w:basedOn w:val="Normal"/>
    <w:qFormat/>
    <w:rsid w:val="00734BDF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734BDF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734BDF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734BDF"/>
  </w:style>
  <w:style w:type="paragraph" w:customStyle="1" w:styleId="rightaligned">
    <w:name w:val="right_aligned"/>
    <w:basedOn w:val="Normal"/>
    <w:qFormat/>
    <w:rsid w:val="00734BDF"/>
    <w:pPr>
      <w:jc w:val="right"/>
    </w:pPr>
  </w:style>
  <w:style w:type="paragraph" w:customStyle="1" w:styleId="centeraligned">
    <w:name w:val="center_aligned"/>
    <w:basedOn w:val="Normal"/>
    <w:qFormat/>
    <w:rsid w:val="00734BDF"/>
    <w:pPr>
      <w:jc w:val="center"/>
    </w:pPr>
  </w:style>
  <w:style w:type="paragraph" w:customStyle="1" w:styleId="justify">
    <w:name w:val="justify"/>
    <w:basedOn w:val="Normal"/>
    <w:qFormat/>
    <w:rsid w:val="00734BDF"/>
    <w:pPr>
      <w:jc w:val="both"/>
    </w:pPr>
  </w:style>
  <w:style w:type="paragraph" w:customStyle="1" w:styleId="Header1">
    <w:name w:val="Header1"/>
    <w:basedOn w:val="Normal"/>
    <w:qFormat/>
    <w:rsid w:val="00734BDF"/>
    <w:pPr>
      <w:ind w:right="5000"/>
    </w:pPr>
  </w:style>
  <w:style w:type="paragraph" w:customStyle="1" w:styleId="heading11">
    <w:name w:val="heading 11"/>
    <w:basedOn w:val="Normal"/>
    <w:qFormat/>
    <w:rsid w:val="00734BDF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734BDF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734BDF"/>
    <w:pPr>
      <w:spacing w:after="200"/>
      <w:jc w:val="center"/>
    </w:pPr>
    <w:rPr>
      <w:b/>
      <w:bCs/>
    </w:rPr>
  </w:style>
  <w:style w:type="table" w:customStyle="1" w:styleId="ce4c35c3">
    <w:name w:val="ce4c35c3"/>
    <w:uiPriority w:val="99"/>
    <w:qFormat/>
    <w:rsid w:val="00734B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924af5e">
    <w:name w:val="d924af5e"/>
    <w:uiPriority w:val="99"/>
    <w:qFormat/>
    <w:rsid w:val="00734B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734BDF"/>
    <w:pPr>
      <w:jc w:val="both"/>
    </w:pPr>
  </w:style>
  <w:style w:type="paragraph" w:customStyle="1" w:styleId="pStyle2">
    <w:name w:val="pStyle2"/>
    <w:qFormat/>
    <w:rsid w:val="00734BDF"/>
    <w:pPr>
      <w:ind w:firstLine="720"/>
      <w:jc w:val="both"/>
    </w:pPr>
  </w:style>
  <w:style w:type="paragraph" w:customStyle="1" w:styleId="pStyle3">
    <w:name w:val="pStyle3"/>
    <w:qFormat/>
    <w:rsid w:val="00734BDF"/>
    <w:pPr>
      <w:spacing w:line="276" w:lineRule="auto"/>
      <w:jc w:val="center"/>
    </w:pPr>
    <w:rPr>
      <w:lang/>
    </w:rPr>
  </w:style>
  <w:style w:type="paragraph" w:styleId="BalloonText">
    <w:name w:val="Balloon Text"/>
    <w:basedOn w:val="Normal"/>
    <w:link w:val="BalloonTextChar"/>
    <w:rsid w:val="00D1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2023-04-11T07:21:00Z</dcterms:created>
  <dcterms:modified xsi:type="dcterms:W3CDTF">2023-04-11T07:22:00Z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