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a6a246c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39"/>
        <w:gridCol w:w="8106"/>
      </w:tblGrid>
      <w:tr w:rsidR="004D6232" w:rsidRPr="004B2DAB" w:rsidTr="0002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4D6232" w:rsidRPr="004B2DAB" w:rsidRDefault="004D6232">
            <w:pPr>
              <w:pStyle w:val="leftaligned"/>
            </w:pPr>
            <w:r w:rsidRPr="004B2DA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8465" w:type="dxa"/>
          </w:tcPr>
          <w:p w:rsidR="004D6232" w:rsidRPr="004B2DAB" w:rsidRDefault="004D6232">
            <w:pPr>
              <w:pStyle w:val="rightaligned"/>
            </w:pPr>
            <w:r w:rsidRPr="004B2DAB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7" o:title=""/>
                </v:shape>
              </w:pict>
            </w:r>
          </w:p>
        </w:tc>
      </w:tr>
    </w:tbl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 xml:space="preserve">РЕПУБЛИКА СРБИЈА 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ЈАВНИ ИЗВРШИТЕЉ др Жарко Димитријевић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Мачванска 1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Ниш</w:t>
      </w:r>
    </w:p>
    <w:p w:rsidR="00027724" w:rsidRPr="004B2DAB" w:rsidRDefault="00027724" w:rsidP="00027724">
      <w:proofErr w:type="spellStart"/>
      <w:r w:rsidRPr="004B2DAB">
        <w:rPr>
          <w:b/>
        </w:rPr>
        <w:t>Тел</w:t>
      </w:r>
      <w:proofErr w:type="spellEnd"/>
      <w:r w:rsidRPr="004B2DAB">
        <w:rPr>
          <w:b/>
        </w:rPr>
        <w:t>. 064/210-2916, 018/244-636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Број предмета: ИИ 583/21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Идент. број предмета: 39-01-00583-21-0025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>Дана: 24.08.2022. године</w:t>
      </w:r>
    </w:p>
    <w:p w:rsidR="00027724" w:rsidRPr="004B2DAB" w:rsidRDefault="00027724" w:rsidP="00027724"/>
    <w:p w:rsidR="00027724" w:rsidRPr="004B2DAB" w:rsidRDefault="00027724" w:rsidP="00027724">
      <w:pPr>
        <w:pStyle w:val="pStyle2"/>
        <w:rPr>
          <w:sz w:val="24"/>
          <w:szCs w:val="24"/>
        </w:rPr>
      </w:pPr>
      <w:r w:rsidRPr="004B2DAB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027724" w:rsidRPr="004B2DAB" w:rsidRDefault="00027724" w:rsidP="00027724">
      <w:pPr>
        <w:pStyle w:val="pStyle2"/>
        <w:rPr>
          <w:sz w:val="24"/>
          <w:szCs w:val="24"/>
        </w:rPr>
      </w:pPr>
      <w:r w:rsidRPr="004B2DAB">
        <w:rPr>
          <w:b/>
          <w:sz w:val="24"/>
          <w:szCs w:val="24"/>
        </w:rPr>
        <w:t xml:space="preserve">Извршног повериоца: Љубисав Динчић, Ниш, ул. Ламартинова бр. 18, ЈМБГ 0502938730062, број рачуна 160-5400100530852-80 који се води код банке BANCA INTESA А.Д. БЕОГРАД, </w:t>
      </w:r>
      <w:r w:rsidRPr="004B2DAB">
        <w:rPr>
          <w:sz w:val="24"/>
          <w:szCs w:val="24"/>
        </w:rPr>
        <w:t xml:space="preserve">кога заступа адв. Братислав Тодоровић, Ниш, СТРАХИЊИЋА БАНА ББ ПЦ "АМБАСАДОР" ЛОК. 25, по пуномоћју у списима предмета против </w:t>
      </w:r>
    </w:p>
    <w:p w:rsidR="00027724" w:rsidRPr="004B2DAB" w:rsidRDefault="00027724" w:rsidP="00027724">
      <w:pPr>
        <w:pStyle w:val="pStyle2"/>
        <w:rPr>
          <w:sz w:val="24"/>
          <w:szCs w:val="24"/>
        </w:rPr>
      </w:pPr>
      <w:proofErr w:type="spellStart"/>
      <w:r w:rsidRPr="004B2DAB">
        <w:rPr>
          <w:b/>
          <w:sz w:val="24"/>
          <w:szCs w:val="24"/>
        </w:rPr>
        <w:t>Извршног</w:t>
      </w:r>
      <w:proofErr w:type="spellEnd"/>
      <w:r w:rsidRPr="004B2DAB">
        <w:rPr>
          <w:b/>
          <w:sz w:val="24"/>
          <w:szCs w:val="24"/>
        </w:rPr>
        <w:t xml:space="preserve"> </w:t>
      </w:r>
      <w:proofErr w:type="spellStart"/>
      <w:r w:rsidRPr="004B2DAB">
        <w:rPr>
          <w:b/>
          <w:sz w:val="24"/>
          <w:szCs w:val="24"/>
        </w:rPr>
        <w:t>дужника</w:t>
      </w:r>
      <w:proofErr w:type="spellEnd"/>
      <w:r w:rsidRPr="004B2DAB">
        <w:rPr>
          <w:b/>
          <w:sz w:val="24"/>
          <w:szCs w:val="24"/>
        </w:rPr>
        <w:t xml:space="preserve">: </w:t>
      </w:r>
      <w:proofErr w:type="spellStart"/>
      <w:r w:rsidRPr="004B2DAB">
        <w:rPr>
          <w:b/>
          <w:sz w:val="24"/>
          <w:szCs w:val="24"/>
        </w:rPr>
        <w:t>Миодраг</w:t>
      </w:r>
      <w:proofErr w:type="spellEnd"/>
      <w:r w:rsidRPr="004B2DAB">
        <w:rPr>
          <w:b/>
          <w:sz w:val="24"/>
          <w:szCs w:val="24"/>
        </w:rPr>
        <w:t xml:space="preserve"> </w:t>
      </w:r>
      <w:proofErr w:type="spellStart"/>
      <w:r w:rsidRPr="004B2DAB">
        <w:rPr>
          <w:b/>
          <w:sz w:val="24"/>
          <w:szCs w:val="24"/>
        </w:rPr>
        <w:t>Петровић</w:t>
      </w:r>
      <w:proofErr w:type="spellEnd"/>
      <w:r w:rsidRPr="004B2DAB">
        <w:rPr>
          <w:b/>
          <w:sz w:val="24"/>
          <w:szCs w:val="24"/>
        </w:rPr>
        <w:t xml:space="preserve">, </w:t>
      </w:r>
      <w:proofErr w:type="spellStart"/>
      <w:r w:rsidRPr="004B2DAB">
        <w:rPr>
          <w:b/>
          <w:sz w:val="24"/>
          <w:szCs w:val="24"/>
        </w:rPr>
        <w:t>Габровац</w:t>
      </w:r>
      <w:proofErr w:type="spellEnd"/>
      <w:r w:rsidRPr="004B2DAB">
        <w:rPr>
          <w:b/>
          <w:sz w:val="24"/>
          <w:szCs w:val="24"/>
        </w:rPr>
        <w:t xml:space="preserve">, </w:t>
      </w:r>
      <w:proofErr w:type="spellStart"/>
      <w:r w:rsidRPr="004B2DAB">
        <w:rPr>
          <w:b/>
          <w:sz w:val="24"/>
          <w:szCs w:val="24"/>
        </w:rPr>
        <w:t>ул</w:t>
      </w:r>
      <w:proofErr w:type="spellEnd"/>
      <w:r w:rsidRPr="004B2DAB">
        <w:rPr>
          <w:b/>
          <w:sz w:val="24"/>
          <w:szCs w:val="24"/>
        </w:rPr>
        <w:t xml:space="preserve">. </w:t>
      </w:r>
      <w:proofErr w:type="spellStart"/>
      <w:r w:rsidRPr="004B2DAB">
        <w:rPr>
          <w:b/>
          <w:sz w:val="24"/>
          <w:szCs w:val="24"/>
        </w:rPr>
        <w:t>Победе</w:t>
      </w:r>
      <w:proofErr w:type="spellEnd"/>
      <w:r w:rsidRPr="004B2DAB">
        <w:rPr>
          <w:b/>
          <w:sz w:val="24"/>
          <w:szCs w:val="24"/>
        </w:rPr>
        <w:t xml:space="preserve"> </w:t>
      </w:r>
      <w:proofErr w:type="spellStart"/>
      <w:r w:rsidRPr="004B2DAB">
        <w:rPr>
          <w:b/>
          <w:sz w:val="24"/>
          <w:szCs w:val="24"/>
        </w:rPr>
        <w:t>бр</w:t>
      </w:r>
      <w:proofErr w:type="spellEnd"/>
      <w:r w:rsidRPr="004B2DAB">
        <w:rPr>
          <w:b/>
          <w:sz w:val="24"/>
          <w:szCs w:val="24"/>
        </w:rPr>
        <w:t xml:space="preserve">. 31, ЈМБГ 2608960730033, </w:t>
      </w:r>
      <w:proofErr w:type="spellStart"/>
      <w:r w:rsidRPr="004B2DAB">
        <w:rPr>
          <w:sz w:val="24"/>
          <w:szCs w:val="24"/>
        </w:rPr>
        <w:t>чији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је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пуномоћник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адв</w:t>
      </w:r>
      <w:proofErr w:type="spellEnd"/>
      <w:r w:rsidRPr="004B2DAB">
        <w:rPr>
          <w:sz w:val="24"/>
          <w:szCs w:val="24"/>
        </w:rPr>
        <w:t xml:space="preserve">. </w:t>
      </w:r>
      <w:proofErr w:type="spellStart"/>
      <w:r w:rsidRPr="004B2DAB">
        <w:rPr>
          <w:sz w:val="24"/>
          <w:szCs w:val="24"/>
        </w:rPr>
        <w:t>Надежда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Младеновић</w:t>
      </w:r>
      <w:proofErr w:type="spellEnd"/>
      <w:r w:rsidRPr="004B2DAB">
        <w:rPr>
          <w:sz w:val="24"/>
          <w:szCs w:val="24"/>
        </w:rPr>
        <w:t xml:space="preserve">, </w:t>
      </w:r>
      <w:proofErr w:type="spellStart"/>
      <w:r w:rsidRPr="004B2DAB">
        <w:rPr>
          <w:sz w:val="24"/>
          <w:szCs w:val="24"/>
        </w:rPr>
        <w:t>Ниш</w:t>
      </w:r>
      <w:proofErr w:type="spellEnd"/>
      <w:r w:rsidRPr="004B2DAB">
        <w:rPr>
          <w:sz w:val="24"/>
          <w:szCs w:val="24"/>
        </w:rPr>
        <w:t xml:space="preserve">, </w:t>
      </w:r>
      <w:proofErr w:type="spellStart"/>
      <w:r w:rsidRPr="004B2DAB">
        <w:rPr>
          <w:sz w:val="24"/>
          <w:szCs w:val="24"/>
        </w:rPr>
        <w:t>Синђелићев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трг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бр</w:t>
      </w:r>
      <w:proofErr w:type="spellEnd"/>
      <w:r w:rsidRPr="004B2DAB">
        <w:rPr>
          <w:sz w:val="24"/>
          <w:szCs w:val="24"/>
        </w:rPr>
        <w:t xml:space="preserve">. 6/19,  </w:t>
      </w:r>
      <w:proofErr w:type="spellStart"/>
      <w:r w:rsidRPr="004B2DAB">
        <w:rPr>
          <w:sz w:val="24"/>
          <w:szCs w:val="24"/>
        </w:rPr>
        <w:t>по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пуномоћју</w:t>
      </w:r>
      <w:proofErr w:type="spellEnd"/>
      <w:r w:rsidRPr="004B2DAB">
        <w:rPr>
          <w:sz w:val="24"/>
          <w:szCs w:val="24"/>
        </w:rPr>
        <w:t xml:space="preserve"> у </w:t>
      </w:r>
      <w:proofErr w:type="spellStart"/>
      <w:r w:rsidRPr="004B2DAB">
        <w:rPr>
          <w:sz w:val="24"/>
          <w:szCs w:val="24"/>
        </w:rPr>
        <w:t>списима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предмета</w:t>
      </w:r>
      <w:proofErr w:type="spellEnd"/>
      <w:r w:rsidRPr="004B2DAB">
        <w:rPr>
          <w:sz w:val="24"/>
          <w:szCs w:val="24"/>
        </w:rPr>
        <w:t xml:space="preserve"> </w:t>
      </w:r>
      <w:r w:rsidRPr="004B2DAB">
        <w:rPr>
          <w:b/>
          <w:sz w:val="24"/>
          <w:szCs w:val="24"/>
        </w:rPr>
        <w:t xml:space="preserve">ИД (3П. </w:t>
      </w:r>
      <w:proofErr w:type="spellStart"/>
      <w:r w:rsidRPr="004B2DAB">
        <w:rPr>
          <w:b/>
          <w:sz w:val="24"/>
          <w:szCs w:val="24"/>
        </w:rPr>
        <w:t>бр</w:t>
      </w:r>
      <w:proofErr w:type="spellEnd"/>
      <w:r w:rsidRPr="004B2DAB">
        <w:rPr>
          <w:b/>
          <w:sz w:val="24"/>
          <w:szCs w:val="24"/>
        </w:rPr>
        <w:t xml:space="preserve">. 7944/18) </w:t>
      </w:r>
      <w:proofErr w:type="spellStart"/>
      <w:r w:rsidRPr="004B2DAB">
        <w:rPr>
          <w:sz w:val="24"/>
          <w:szCs w:val="24"/>
        </w:rPr>
        <w:t>ради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спровођења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извршења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одређеног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Решењем</w:t>
      </w:r>
      <w:proofErr w:type="spellEnd"/>
      <w:r w:rsidRPr="004B2DAB">
        <w:rPr>
          <w:sz w:val="24"/>
          <w:szCs w:val="24"/>
        </w:rPr>
        <w:t xml:space="preserve"> о </w:t>
      </w:r>
      <w:proofErr w:type="spellStart"/>
      <w:r w:rsidRPr="004B2DAB">
        <w:rPr>
          <w:sz w:val="24"/>
          <w:szCs w:val="24"/>
        </w:rPr>
        <w:t>извршењу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Основног</w:t>
      </w:r>
      <w:proofErr w:type="spellEnd"/>
      <w:r w:rsidRPr="004B2DAB">
        <w:rPr>
          <w:sz w:val="24"/>
          <w:szCs w:val="24"/>
        </w:rPr>
        <w:t xml:space="preserve"> </w:t>
      </w:r>
      <w:proofErr w:type="spellStart"/>
      <w:r w:rsidRPr="004B2DAB">
        <w:rPr>
          <w:sz w:val="24"/>
          <w:szCs w:val="24"/>
        </w:rPr>
        <w:t>суда</w:t>
      </w:r>
      <w:proofErr w:type="spellEnd"/>
      <w:r w:rsidRPr="004B2DAB">
        <w:rPr>
          <w:sz w:val="24"/>
          <w:szCs w:val="24"/>
        </w:rPr>
        <w:t xml:space="preserve"> у </w:t>
      </w:r>
      <w:proofErr w:type="spellStart"/>
      <w:r w:rsidRPr="004B2DAB">
        <w:rPr>
          <w:sz w:val="24"/>
          <w:szCs w:val="24"/>
        </w:rPr>
        <w:t>Нишу</w:t>
      </w:r>
      <w:proofErr w:type="spellEnd"/>
      <w:r w:rsidRPr="004B2DAB">
        <w:rPr>
          <w:sz w:val="24"/>
          <w:szCs w:val="24"/>
        </w:rPr>
        <w:t xml:space="preserve"> 3И-3393/2021 </w:t>
      </w:r>
      <w:proofErr w:type="spellStart"/>
      <w:r w:rsidRPr="004B2DAB">
        <w:rPr>
          <w:sz w:val="24"/>
          <w:szCs w:val="24"/>
        </w:rPr>
        <w:t>од</w:t>
      </w:r>
      <w:proofErr w:type="spellEnd"/>
      <w:r w:rsidRPr="004B2DAB">
        <w:rPr>
          <w:sz w:val="24"/>
          <w:szCs w:val="24"/>
        </w:rPr>
        <w:t xml:space="preserve"> 24.04.2021. </w:t>
      </w:r>
      <w:proofErr w:type="spellStart"/>
      <w:r w:rsidRPr="004B2DAB">
        <w:rPr>
          <w:sz w:val="24"/>
          <w:szCs w:val="24"/>
        </w:rPr>
        <w:t>године</w:t>
      </w:r>
      <w:proofErr w:type="spellEnd"/>
      <w:r w:rsidR="000E7F9C" w:rsidRPr="004B2DAB">
        <w:rPr>
          <w:sz w:val="24"/>
          <w:szCs w:val="24"/>
        </w:rPr>
        <w:t xml:space="preserve">, </w:t>
      </w:r>
      <w:r w:rsidRPr="004B2DAB">
        <w:rPr>
          <w:sz w:val="24"/>
          <w:szCs w:val="24"/>
        </w:rPr>
        <w:t>у складу са члановима 23, 180, 193, 194. ЗИО (</w:t>
      </w:r>
      <w:r w:rsidRPr="004B2DAB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. 106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>2015, 106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, 113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, 54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>2019</w:t>
      </w:r>
      <w:r w:rsidRPr="004B2DAB">
        <w:rPr>
          <w:sz w:val="24"/>
          <w:szCs w:val="24"/>
        </w:rPr>
        <w:t xml:space="preserve">) и члановима </w:t>
      </w:r>
      <w:proofErr w:type="gramStart"/>
      <w:r w:rsidRPr="004B2DAB">
        <w:rPr>
          <w:sz w:val="24"/>
          <w:szCs w:val="24"/>
        </w:rPr>
        <w:t>7.,</w:t>
      </w:r>
      <w:proofErr w:type="gramEnd"/>
      <w:r w:rsidRPr="004B2DAB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 доноси:</w:t>
      </w:r>
    </w:p>
    <w:p w:rsidR="00027724" w:rsidRPr="004B2DAB" w:rsidRDefault="00027724" w:rsidP="00027724"/>
    <w:p w:rsidR="00027724" w:rsidRPr="004B2DAB" w:rsidRDefault="00027724" w:rsidP="00027724">
      <w:pPr>
        <w:pStyle w:val="pStyle3"/>
        <w:rPr>
          <w:sz w:val="24"/>
          <w:szCs w:val="24"/>
        </w:rPr>
      </w:pPr>
      <w:r w:rsidRPr="004B2DAB">
        <w:rPr>
          <w:b/>
          <w:sz w:val="24"/>
          <w:szCs w:val="24"/>
        </w:rPr>
        <w:t>З А К Љ У Ч А К</w:t>
      </w:r>
    </w:p>
    <w:p w:rsidR="00027724" w:rsidRPr="004B2DAB" w:rsidRDefault="00027724" w:rsidP="00027724"/>
    <w:p w:rsidR="00027724" w:rsidRPr="004B2DAB" w:rsidRDefault="00027724" w:rsidP="00027724">
      <w:pPr>
        <w:jc w:val="both"/>
        <w:rPr>
          <w:bCs/>
        </w:rPr>
      </w:pPr>
      <w:r w:rsidRPr="004B2DAB">
        <w:rPr>
          <w:b/>
        </w:rPr>
        <w:t>I</w:t>
      </w:r>
      <w:r w:rsidRPr="004B2DAB">
        <w:tab/>
      </w:r>
      <w:r w:rsidRPr="004B2DAB">
        <w:rPr>
          <w:b/>
        </w:rPr>
        <w:t>ДОДЕЉУЈ</w:t>
      </w:r>
      <w:r w:rsidRPr="004B2DAB">
        <w:rPr>
          <w:b/>
          <w:lang w:val="sr-Cyrl-CS"/>
        </w:rPr>
        <w:t>Е</w:t>
      </w:r>
      <w:r w:rsidRPr="004B2DAB">
        <w:rPr>
          <w:b/>
        </w:rPr>
        <w:t xml:space="preserve"> СЕ И ПРЕДАЈЕ </w:t>
      </w:r>
      <w:proofErr w:type="spellStart"/>
      <w:r w:rsidRPr="004B2DAB">
        <w:rPr>
          <w:b/>
        </w:rPr>
        <w:t>купцу</w:t>
      </w:r>
      <w:proofErr w:type="spellEnd"/>
      <w:r w:rsidRPr="004B2DAB">
        <w:t>:</w:t>
      </w:r>
      <w:r w:rsidRPr="004B2DAB">
        <w:rPr>
          <w:b/>
          <w:bCs/>
        </w:rPr>
        <w:t xml:space="preserve"> </w:t>
      </w:r>
      <w:proofErr w:type="spellStart"/>
      <w:r w:rsidRPr="004B2DAB">
        <w:rPr>
          <w:b/>
          <w:lang w:eastAsia="en-US"/>
        </w:rPr>
        <w:t>Ненад</w:t>
      </w:r>
      <w:proofErr w:type="spellEnd"/>
      <w:r w:rsidRPr="004B2DAB">
        <w:rPr>
          <w:b/>
          <w:lang w:eastAsia="en-US"/>
        </w:rPr>
        <w:t>у</w:t>
      </w:r>
      <w:r w:rsidRPr="004B2DAB">
        <w:rPr>
          <w:b/>
          <w:lang w:eastAsia="en-US"/>
        </w:rPr>
        <w:t xml:space="preserve"> </w:t>
      </w:r>
      <w:r w:rsidR="004B2DAB" w:rsidRPr="004B2DAB">
        <w:rPr>
          <w:b/>
          <w:lang w:eastAsia="en-US"/>
        </w:rPr>
        <w:t xml:space="preserve">(Небојша) </w:t>
      </w:r>
      <w:proofErr w:type="spellStart"/>
      <w:r w:rsidRPr="004B2DAB">
        <w:rPr>
          <w:b/>
          <w:lang w:eastAsia="en-US"/>
        </w:rPr>
        <w:t>Милутиновић</w:t>
      </w:r>
      <w:proofErr w:type="spellEnd"/>
      <w:r w:rsidRPr="004B2DAB">
        <w:rPr>
          <w:b/>
          <w:lang w:eastAsia="en-US"/>
        </w:rPr>
        <w:t>у</w:t>
      </w:r>
      <w:r w:rsidRPr="004B2DAB">
        <w:rPr>
          <w:b/>
          <w:lang w:eastAsia="en-US"/>
        </w:rPr>
        <w:t xml:space="preserve">, </w:t>
      </w:r>
      <w:proofErr w:type="spellStart"/>
      <w:r w:rsidRPr="004B2DAB">
        <w:rPr>
          <w:b/>
          <w:lang w:eastAsia="en-US"/>
        </w:rPr>
        <w:t>Габровац</w:t>
      </w:r>
      <w:proofErr w:type="spellEnd"/>
      <w:r w:rsidRPr="004B2DAB">
        <w:rPr>
          <w:b/>
          <w:lang w:eastAsia="en-US"/>
        </w:rPr>
        <w:t xml:space="preserve">, </w:t>
      </w:r>
      <w:proofErr w:type="spellStart"/>
      <w:r w:rsidRPr="004B2DAB">
        <w:rPr>
          <w:b/>
          <w:lang w:eastAsia="en-US"/>
        </w:rPr>
        <w:t>ул</w:t>
      </w:r>
      <w:proofErr w:type="spellEnd"/>
      <w:r w:rsidRPr="004B2DAB">
        <w:rPr>
          <w:b/>
          <w:lang w:eastAsia="en-US"/>
        </w:rPr>
        <w:t xml:space="preserve">. </w:t>
      </w:r>
      <w:proofErr w:type="spellStart"/>
      <w:proofErr w:type="gramStart"/>
      <w:r w:rsidRPr="004B2DAB">
        <w:rPr>
          <w:b/>
          <w:lang w:eastAsia="en-US"/>
        </w:rPr>
        <w:t>Вукмановска</w:t>
      </w:r>
      <w:proofErr w:type="spellEnd"/>
      <w:r w:rsidRPr="004B2DAB">
        <w:rPr>
          <w:b/>
          <w:lang w:eastAsia="en-US"/>
        </w:rPr>
        <w:t xml:space="preserve"> </w:t>
      </w:r>
      <w:proofErr w:type="spellStart"/>
      <w:r w:rsidRPr="004B2DAB">
        <w:rPr>
          <w:b/>
          <w:lang w:eastAsia="en-US"/>
        </w:rPr>
        <w:t>бр</w:t>
      </w:r>
      <w:proofErr w:type="spellEnd"/>
      <w:r w:rsidRPr="004B2DAB">
        <w:rPr>
          <w:b/>
          <w:lang w:eastAsia="en-US"/>
        </w:rPr>
        <w:t>.</w:t>
      </w:r>
      <w:proofErr w:type="gramEnd"/>
      <w:r w:rsidRPr="004B2DAB">
        <w:rPr>
          <w:b/>
          <w:lang w:eastAsia="en-US"/>
        </w:rPr>
        <w:t xml:space="preserve"> </w:t>
      </w:r>
      <w:proofErr w:type="gramStart"/>
      <w:r w:rsidRPr="004B2DAB">
        <w:rPr>
          <w:b/>
          <w:lang w:eastAsia="en-US"/>
        </w:rPr>
        <w:t xml:space="preserve">34, ЈМБГ 1305973730044, </w:t>
      </w:r>
      <w:proofErr w:type="spellStart"/>
      <w:r w:rsidRPr="004B2DAB">
        <w:rPr>
          <w:b/>
          <w:lang w:eastAsia="en-US"/>
        </w:rPr>
        <w:t>бр</w:t>
      </w:r>
      <w:proofErr w:type="spellEnd"/>
      <w:r w:rsidRPr="004B2DAB">
        <w:rPr>
          <w:b/>
          <w:lang w:eastAsia="en-US"/>
        </w:rPr>
        <w:t>.</w:t>
      </w:r>
      <w:proofErr w:type="gramEnd"/>
      <w:r w:rsidRPr="004B2DAB">
        <w:rPr>
          <w:b/>
          <w:lang w:eastAsia="en-US"/>
        </w:rPr>
        <w:t xml:space="preserve"> </w:t>
      </w:r>
      <w:proofErr w:type="spellStart"/>
      <w:proofErr w:type="gramStart"/>
      <w:r w:rsidRPr="004B2DAB">
        <w:rPr>
          <w:b/>
          <w:lang w:eastAsia="en-US"/>
        </w:rPr>
        <w:t>лк</w:t>
      </w:r>
      <w:proofErr w:type="spellEnd"/>
      <w:proofErr w:type="gramEnd"/>
      <w:r w:rsidRPr="004B2DAB">
        <w:rPr>
          <w:b/>
          <w:lang w:eastAsia="en-US"/>
        </w:rPr>
        <w:t>. 004863791</w:t>
      </w:r>
      <w:r w:rsidRPr="004B2DAB">
        <w:rPr>
          <w:rFonts w:eastAsia="SimSun"/>
        </w:rPr>
        <w:t xml:space="preserve">, </w:t>
      </w:r>
      <w:r w:rsidRPr="004B2DAB">
        <w:rPr>
          <w:lang w:val="sr-Cyrl-CS"/>
        </w:rPr>
        <w:t xml:space="preserve">непокретност, и </w:t>
      </w:r>
      <w:proofErr w:type="spellStart"/>
      <w:r w:rsidRPr="004B2DAB">
        <w:rPr>
          <w:bCs/>
        </w:rPr>
        <w:t>то</w:t>
      </w:r>
      <w:proofErr w:type="spellEnd"/>
      <w:r w:rsidRPr="004B2DAB">
        <w:rPr>
          <w:bCs/>
        </w:rPr>
        <w:t xml:space="preserve">: </w:t>
      </w:r>
    </w:p>
    <w:p w:rsidR="00027724" w:rsidRPr="004B2DAB" w:rsidRDefault="00027724" w:rsidP="00027724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027724" w:rsidRPr="004B2DAB" w:rsidRDefault="00027724" w:rsidP="00027724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B2DAB">
        <w:rPr>
          <w:rFonts w:ascii="Times New Roman" w:hAnsi="Times New Roman"/>
          <w:bCs/>
          <w:sz w:val="24"/>
          <w:szCs w:val="24"/>
        </w:rPr>
        <w:t>Воћњак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 4. </w:t>
      </w:r>
      <w:proofErr w:type="spellStart"/>
      <w:proofErr w:type="gramStart"/>
      <w:r w:rsidRPr="004B2DAB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4B2D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 932 </w:t>
      </w:r>
      <w:proofErr w:type="spellStart"/>
      <w:r w:rsidRPr="004B2DAB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4B2DAB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4B2DAB">
        <w:rPr>
          <w:rFonts w:ascii="Times New Roman" w:hAnsi="Times New Roman"/>
          <w:bCs/>
          <w:sz w:val="24"/>
          <w:szCs w:val="24"/>
        </w:rPr>
        <w:t xml:space="preserve">. 1964, </w:t>
      </w:r>
      <w:proofErr w:type="spellStart"/>
      <w:r w:rsidRPr="004B2DAB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 у ЛН 497 КО </w:t>
      </w:r>
      <w:proofErr w:type="spellStart"/>
      <w:r w:rsidRPr="004B2DAB">
        <w:rPr>
          <w:rFonts w:ascii="Times New Roman" w:hAnsi="Times New Roman"/>
          <w:bCs/>
          <w:sz w:val="24"/>
          <w:szCs w:val="24"/>
        </w:rPr>
        <w:t>Габровац</w:t>
      </w:r>
      <w:proofErr w:type="spellEnd"/>
      <w:r w:rsidRPr="004B2DA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процењен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износ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605.800,00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динара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продат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цени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DAB">
        <w:rPr>
          <w:rFonts w:ascii="Times New Roman" w:hAnsi="Times New Roman"/>
          <w:b/>
          <w:bCs/>
          <w:sz w:val="24"/>
          <w:szCs w:val="24"/>
          <w:lang/>
        </w:rPr>
        <w:t>260</w:t>
      </w:r>
      <w:r w:rsidRPr="004B2DAB">
        <w:rPr>
          <w:rFonts w:ascii="Times New Roman" w:hAnsi="Times New Roman"/>
          <w:b/>
          <w:bCs/>
          <w:sz w:val="24"/>
          <w:szCs w:val="24"/>
        </w:rPr>
        <w:t xml:space="preserve">.000,00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динара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>.</w:t>
      </w:r>
    </w:p>
    <w:p w:rsidR="00027724" w:rsidRPr="004B2DAB" w:rsidRDefault="00027724" w:rsidP="00027724">
      <w:pPr>
        <w:pStyle w:val="pStyle2"/>
        <w:ind w:left="1440" w:firstLine="0"/>
        <w:rPr>
          <w:b/>
          <w:sz w:val="24"/>
          <w:szCs w:val="24"/>
        </w:rPr>
      </w:pPr>
    </w:p>
    <w:p w:rsidR="00027724" w:rsidRPr="004B2DAB" w:rsidRDefault="00027724" w:rsidP="00027724">
      <w:pPr>
        <w:jc w:val="both"/>
        <w:rPr>
          <w:b/>
        </w:rPr>
      </w:pPr>
      <w:r w:rsidRPr="004B2DAB">
        <w:rPr>
          <w:b/>
          <w:lang w:val="sr-Latn-CS"/>
        </w:rPr>
        <w:t xml:space="preserve">II </w:t>
      </w:r>
      <w:r w:rsidRPr="004B2DAB">
        <w:rPr>
          <w:b/>
          <w:lang w:val="sr-Cyrl-CS"/>
        </w:rPr>
        <w:tab/>
        <w:t>НАЛАЖЕ СЕ Републичком геодетском заводу</w:t>
      </w:r>
      <w:r w:rsidRPr="004B2DAB">
        <w:rPr>
          <w:b/>
        </w:rPr>
        <w:t xml:space="preserve"> </w:t>
      </w:r>
      <w:r w:rsidRPr="004B2DAB">
        <w:rPr>
          <w:b/>
          <w:lang w:val="sr-Cyrl-CS"/>
        </w:rPr>
        <w:t>- Служби за катастар непокретности</w:t>
      </w:r>
      <w:r w:rsidRPr="004B2DAB">
        <w:rPr>
          <w:lang w:val="sr-Cyrl-CS"/>
        </w:rPr>
        <w:t xml:space="preserve">, да изврши упис права својине у корист купца на непокретности из ст. 1. овог Закључка, као и </w:t>
      </w:r>
      <w:r w:rsidRPr="004B2DAB">
        <w:rPr>
          <w:b/>
          <w:lang w:val="sr-Cyrl-CS"/>
        </w:rPr>
        <w:t>брисање свих терета који су уписани у теретном листу на истој.</w:t>
      </w:r>
    </w:p>
    <w:p w:rsidR="00027724" w:rsidRPr="004B2DAB" w:rsidRDefault="00027724" w:rsidP="00027724">
      <w:pPr>
        <w:pStyle w:val="pStyle2"/>
        <w:ind w:firstLine="0"/>
        <w:rPr>
          <w:bCs/>
          <w:sz w:val="24"/>
          <w:szCs w:val="24"/>
          <w:lang/>
        </w:rPr>
      </w:pPr>
    </w:p>
    <w:p w:rsidR="00D41138" w:rsidRDefault="00D41138" w:rsidP="00027724">
      <w:pPr>
        <w:pStyle w:val="pStyle3"/>
        <w:rPr>
          <w:b/>
          <w:sz w:val="24"/>
          <w:szCs w:val="24"/>
        </w:rPr>
      </w:pPr>
    </w:p>
    <w:p w:rsidR="00027724" w:rsidRPr="004B2DAB" w:rsidRDefault="00027724" w:rsidP="00027724">
      <w:pPr>
        <w:pStyle w:val="pStyle3"/>
        <w:rPr>
          <w:sz w:val="24"/>
          <w:szCs w:val="24"/>
        </w:rPr>
      </w:pPr>
      <w:r w:rsidRPr="004B2DAB">
        <w:rPr>
          <w:b/>
          <w:sz w:val="24"/>
          <w:szCs w:val="24"/>
        </w:rPr>
        <w:lastRenderedPageBreak/>
        <w:t>Образложење:</w:t>
      </w:r>
    </w:p>
    <w:p w:rsidR="00027724" w:rsidRPr="004B2DAB" w:rsidRDefault="00027724" w:rsidP="00027724">
      <w:r w:rsidRPr="004B2DAB">
        <w:tab/>
      </w:r>
    </w:p>
    <w:p w:rsidR="00027724" w:rsidRPr="004B2DAB" w:rsidRDefault="00027724" w:rsidP="00027724">
      <w:pPr>
        <w:ind w:firstLine="708"/>
        <w:jc w:val="both"/>
        <w:rPr>
          <w:lang/>
        </w:rPr>
      </w:pPr>
      <w:proofErr w:type="spellStart"/>
      <w:proofErr w:type="gramStart"/>
      <w:r w:rsidRPr="004B2DAB">
        <w:t>Дана</w:t>
      </w:r>
      <w:proofErr w:type="spellEnd"/>
      <w:r w:rsidRPr="004B2DAB">
        <w:t xml:space="preserve"> </w:t>
      </w:r>
      <w:r w:rsidRPr="004B2DAB">
        <w:rPr>
          <w:lang/>
        </w:rPr>
        <w:t>18.07.2022</w:t>
      </w:r>
      <w:r w:rsidRPr="004B2DAB">
        <w:t>.</w:t>
      </w:r>
      <w:proofErr w:type="gramEnd"/>
      <w:r w:rsidRPr="004B2DAB">
        <w:t xml:space="preserve"> </w:t>
      </w:r>
      <w:proofErr w:type="spellStart"/>
      <w:proofErr w:type="gramStart"/>
      <w:r w:rsidRPr="004B2DAB">
        <w:t>године</w:t>
      </w:r>
      <w:proofErr w:type="spellEnd"/>
      <w:proofErr w:type="gramEnd"/>
      <w:r w:rsidRPr="004B2DAB">
        <w:t xml:space="preserve"> </w:t>
      </w:r>
      <w:proofErr w:type="spellStart"/>
      <w:r w:rsidRPr="004B2DAB">
        <w:t>по</w:t>
      </w:r>
      <w:proofErr w:type="spellEnd"/>
      <w:r w:rsidRPr="004B2DAB">
        <w:t xml:space="preserve"> </w:t>
      </w:r>
      <w:proofErr w:type="spellStart"/>
      <w:r w:rsidRPr="004B2DAB">
        <w:t>заказаној</w:t>
      </w:r>
      <w:proofErr w:type="spellEnd"/>
      <w:r w:rsidRPr="004B2DAB">
        <w:t xml:space="preserve"> </w:t>
      </w:r>
      <w:proofErr w:type="spellStart"/>
      <w:r w:rsidRPr="004B2DAB">
        <w:t>другој</w:t>
      </w:r>
      <w:proofErr w:type="spellEnd"/>
      <w:r w:rsidRPr="004B2DAB">
        <w:t xml:space="preserve"> </w:t>
      </w:r>
      <w:proofErr w:type="spellStart"/>
      <w:r w:rsidRPr="004B2DAB">
        <w:t>продаји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извршног</w:t>
      </w:r>
      <w:proofErr w:type="spellEnd"/>
      <w:r w:rsidRPr="004B2DAB">
        <w:t xml:space="preserve"> </w:t>
      </w:r>
      <w:proofErr w:type="spellStart"/>
      <w:r w:rsidRPr="004B2DAB">
        <w:t>дужника</w:t>
      </w:r>
      <w:proofErr w:type="spellEnd"/>
      <w:r w:rsidRPr="004B2DAB">
        <w:t xml:space="preserve">,  </w:t>
      </w:r>
      <w:proofErr w:type="spellStart"/>
      <w:r w:rsidRPr="004B2DAB">
        <w:t>путем</w:t>
      </w:r>
      <w:proofErr w:type="spellEnd"/>
      <w:r w:rsidRPr="004B2DAB">
        <w:t xml:space="preserve"> </w:t>
      </w:r>
      <w:proofErr w:type="spellStart"/>
      <w:r w:rsidRPr="004B2DAB">
        <w:t>електронског</w:t>
      </w:r>
      <w:proofErr w:type="spellEnd"/>
      <w:r w:rsidRPr="004B2DAB">
        <w:t xml:space="preserve"> </w:t>
      </w:r>
      <w:proofErr w:type="spellStart"/>
      <w:r w:rsidRPr="004B2DAB">
        <w:t>јавног</w:t>
      </w:r>
      <w:proofErr w:type="spellEnd"/>
      <w:r w:rsidRPr="004B2DAB">
        <w:t xml:space="preserve"> </w:t>
      </w:r>
      <w:proofErr w:type="spellStart"/>
      <w:r w:rsidRPr="004B2DAB">
        <w:t>надметања</w:t>
      </w:r>
      <w:proofErr w:type="spellEnd"/>
      <w:r w:rsidRPr="004B2DAB">
        <w:t xml:space="preserve">, </w:t>
      </w:r>
      <w:proofErr w:type="spellStart"/>
      <w:r w:rsidRPr="004B2DAB">
        <w:t>није</w:t>
      </w:r>
      <w:proofErr w:type="spellEnd"/>
      <w:r w:rsidRPr="004B2DAB">
        <w:t xml:space="preserve"> </w:t>
      </w:r>
      <w:proofErr w:type="spellStart"/>
      <w:r w:rsidRPr="004B2DAB">
        <w:t>било</w:t>
      </w:r>
      <w:proofErr w:type="spellEnd"/>
      <w:r w:rsidRPr="004B2DAB">
        <w:t xml:space="preserve"> </w:t>
      </w:r>
      <w:proofErr w:type="spellStart"/>
      <w:r w:rsidRPr="004B2DAB">
        <w:t>заинтересованих</w:t>
      </w:r>
      <w:proofErr w:type="spellEnd"/>
      <w:r w:rsidRPr="004B2DAB">
        <w:t xml:space="preserve"> </w:t>
      </w:r>
      <w:proofErr w:type="spellStart"/>
      <w:r w:rsidRPr="004B2DAB">
        <w:t>понуђача</w:t>
      </w:r>
      <w:proofErr w:type="spellEnd"/>
      <w:r w:rsidRPr="004B2DAB">
        <w:rPr>
          <w:lang/>
        </w:rPr>
        <w:t>, те је извршни поверилац предложио да се непокретности које су биле предмет продаје путем ел. јавног надметања, продају путем непосредне погодбе.</w:t>
      </w:r>
    </w:p>
    <w:p w:rsidR="00027724" w:rsidRPr="004B2DAB" w:rsidRDefault="00027724" w:rsidP="00027724">
      <w:pPr>
        <w:pStyle w:val="pStyle2"/>
        <w:ind w:firstLine="700"/>
        <w:rPr>
          <w:sz w:val="24"/>
          <w:szCs w:val="24"/>
          <w:lang/>
        </w:rPr>
      </w:pPr>
      <w:r w:rsidRPr="004B2DAB">
        <w:rPr>
          <w:sz w:val="24"/>
          <w:szCs w:val="24"/>
          <w:lang/>
        </w:rPr>
        <w:t>Дана 21.07.2022. године, јавни извршитељ је донео закључак о продаји непокретности извршног дужника путем непосредне погодбе, те је позвао</w:t>
      </w:r>
      <w:r w:rsidRPr="004B2DAB">
        <w:rPr>
          <w:sz w:val="24"/>
          <w:szCs w:val="24"/>
        </w:rPr>
        <w:t xml:space="preserve"> заинтересован</w:t>
      </w:r>
      <w:r w:rsidRPr="004B2DAB">
        <w:rPr>
          <w:sz w:val="24"/>
          <w:szCs w:val="24"/>
          <w:lang/>
        </w:rPr>
        <w:t>е</w:t>
      </w:r>
      <w:r w:rsidRPr="004B2DAB">
        <w:rPr>
          <w:sz w:val="24"/>
          <w:szCs w:val="24"/>
        </w:rPr>
        <w:t xml:space="preserve"> купц</w:t>
      </w:r>
      <w:r w:rsidRPr="004B2DAB">
        <w:rPr>
          <w:sz w:val="24"/>
          <w:szCs w:val="24"/>
          <w:lang/>
        </w:rPr>
        <w:t>е</w:t>
      </w:r>
      <w:r w:rsidRPr="004B2DAB">
        <w:rPr>
          <w:sz w:val="24"/>
          <w:szCs w:val="24"/>
        </w:rPr>
        <w:t xml:space="preserve"> да доставе своје понуде, као и доказ о </w:t>
      </w:r>
      <w:r w:rsidRPr="004B2DAB">
        <w:rPr>
          <w:sz w:val="24"/>
          <w:szCs w:val="24"/>
          <w:lang w:val="sr-Latn-CS"/>
        </w:rPr>
        <w:t>уплат</w:t>
      </w:r>
      <w:r w:rsidRPr="004B2DAB">
        <w:rPr>
          <w:sz w:val="24"/>
          <w:szCs w:val="24"/>
        </w:rPr>
        <w:t>и</w:t>
      </w:r>
      <w:r w:rsidRPr="004B2DAB">
        <w:rPr>
          <w:sz w:val="24"/>
          <w:szCs w:val="24"/>
          <w:lang w:val="sr-Latn-CS"/>
        </w:rPr>
        <w:t xml:space="preserve"> на име јемства 15% од </w:t>
      </w:r>
      <w:r w:rsidRPr="004B2DAB">
        <w:rPr>
          <w:sz w:val="24"/>
          <w:szCs w:val="24"/>
          <w:lang w:val="sr-Cyrl-CS"/>
        </w:rPr>
        <w:t xml:space="preserve">процењене вредности </w:t>
      </w:r>
      <w:r w:rsidRPr="004B2DAB">
        <w:rPr>
          <w:sz w:val="24"/>
          <w:szCs w:val="24"/>
        </w:rPr>
        <w:t>непокретности</w:t>
      </w:r>
      <w:r w:rsidRPr="004B2DAB">
        <w:rPr>
          <w:sz w:val="24"/>
          <w:szCs w:val="24"/>
          <w:lang w:val="sr-Latn-CS"/>
        </w:rPr>
        <w:t>, на</w:t>
      </w:r>
      <w:r w:rsidRPr="004B2DAB">
        <w:rPr>
          <w:sz w:val="24"/>
          <w:szCs w:val="24"/>
        </w:rPr>
        <w:t xml:space="preserve"> наменски </w:t>
      </w:r>
      <w:r w:rsidRPr="004B2DAB">
        <w:rPr>
          <w:sz w:val="24"/>
          <w:szCs w:val="24"/>
          <w:lang w:val="sr-Latn-CS"/>
        </w:rPr>
        <w:t xml:space="preserve"> </w:t>
      </w:r>
      <w:r w:rsidRPr="004B2DAB">
        <w:rPr>
          <w:sz w:val="24"/>
          <w:szCs w:val="24"/>
          <w:lang w:val="sr-Cyrl-CS"/>
        </w:rPr>
        <w:t>рачун Јавног извршитеља број</w:t>
      </w:r>
      <w:r w:rsidRPr="004B2DAB">
        <w:rPr>
          <w:sz w:val="24"/>
          <w:szCs w:val="24"/>
          <w:lang w:val="sr-Latn-CS"/>
        </w:rPr>
        <w:t xml:space="preserve"> </w:t>
      </w:r>
      <w:r w:rsidRPr="004B2DAB">
        <w:rPr>
          <w:sz w:val="24"/>
          <w:szCs w:val="24"/>
        </w:rPr>
        <w:t>160-406052-46</w:t>
      </w:r>
      <w:r w:rsidRPr="004B2DAB">
        <w:rPr>
          <w:sz w:val="24"/>
          <w:szCs w:val="24"/>
          <w:lang w:val="sr-Latn-CS"/>
        </w:rPr>
        <w:t xml:space="preserve"> са </w:t>
      </w:r>
      <w:r w:rsidRPr="004B2DAB">
        <w:rPr>
          <w:sz w:val="24"/>
          <w:szCs w:val="24"/>
        </w:rPr>
        <w:t>сврхом уплате:</w:t>
      </w:r>
      <w:r w:rsidRPr="004B2DAB">
        <w:rPr>
          <w:sz w:val="24"/>
          <w:szCs w:val="24"/>
          <w:lang w:val="sr-Latn-CS"/>
        </w:rPr>
        <w:t xml:space="preserve"> „јемство за </w:t>
      </w:r>
      <w:r w:rsidRPr="004B2DAB">
        <w:rPr>
          <w:sz w:val="24"/>
          <w:szCs w:val="24"/>
        </w:rPr>
        <w:t>И.И-583/2021</w:t>
      </w:r>
      <w:r w:rsidRPr="004B2DAB">
        <w:rPr>
          <w:sz w:val="24"/>
          <w:szCs w:val="24"/>
          <w:lang w:val="sr-Latn-CS"/>
        </w:rPr>
        <w:t>”</w:t>
      </w:r>
      <w:r w:rsidRPr="004B2DAB">
        <w:rPr>
          <w:sz w:val="24"/>
          <w:szCs w:val="24"/>
        </w:rPr>
        <w:t>.</w:t>
      </w:r>
      <w:r w:rsidRPr="004B2DAB">
        <w:rPr>
          <w:sz w:val="24"/>
          <w:szCs w:val="24"/>
          <w:lang w:val="sr-Latn-CS"/>
        </w:rPr>
        <w:t xml:space="preserve">  </w:t>
      </w:r>
    </w:p>
    <w:p w:rsidR="00027724" w:rsidRPr="004B2DAB" w:rsidRDefault="00027724" w:rsidP="00027724">
      <w:pPr>
        <w:pStyle w:val="pStyle2"/>
        <w:ind w:firstLine="700"/>
        <w:rPr>
          <w:sz w:val="24"/>
          <w:szCs w:val="24"/>
          <w:lang/>
        </w:rPr>
      </w:pPr>
      <w:r w:rsidRPr="004B2DAB">
        <w:rPr>
          <w:sz w:val="24"/>
          <w:szCs w:val="24"/>
          <w:lang/>
        </w:rPr>
        <w:t xml:space="preserve">У току поступка извршења, на адресу јавног извршитеља пристигло је 3 понуде које се односе на </w:t>
      </w:r>
      <w:r w:rsidRPr="004B2DAB">
        <w:rPr>
          <w:bCs/>
          <w:sz w:val="24"/>
          <w:szCs w:val="24"/>
        </w:rPr>
        <w:t>кп. бр. 1964</w:t>
      </w:r>
      <w:r w:rsidRPr="004B2DAB">
        <w:rPr>
          <w:bCs/>
          <w:sz w:val="24"/>
          <w:szCs w:val="24"/>
          <w:lang/>
        </w:rPr>
        <w:t xml:space="preserve">. Накадним увидом, јавни извршитељ је утврдио да понуда  </w:t>
      </w:r>
      <w:r w:rsidRPr="004B2DAB">
        <w:rPr>
          <w:sz w:val="24"/>
          <w:szCs w:val="24"/>
          <w:lang w:eastAsia="en-US"/>
        </w:rPr>
        <w:t>Ненад</w:t>
      </w:r>
      <w:r w:rsidRPr="004B2DAB">
        <w:rPr>
          <w:sz w:val="24"/>
          <w:szCs w:val="24"/>
          <w:lang w:eastAsia="en-US"/>
        </w:rPr>
        <w:t xml:space="preserve">а </w:t>
      </w:r>
      <w:r w:rsidRPr="004B2DAB">
        <w:rPr>
          <w:sz w:val="24"/>
          <w:szCs w:val="24"/>
          <w:lang w:eastAsia="en-US"/>
        </w:rPr>
        <w:t>Милутиновић</w:t>
      </w:r>
      <w:r w:rsidRPr="004B2DAB">
        <w:rPr>
          <w:sz w:val="24"/>
          <w:szCs w:val="24"/>
          <w:lang w:eastAsia="en-US"/>
        </w:rPr>
        <w:t xml:space="preserve"> испуњава услове прописане чланом 185. ЗИО, те је са истим дана 23.08.2022. године закључио уговор о продаји. Непосредно пре закључења уговора, купац је уплатио купопродајну цену у целости.</w:t>
      </w:r>
    </w:p>
    <w:p w:rsidR="00027724" w:rsidRPr="004B2DAB" w:rsidRDefault="00027724" w:rsidP="00027724">
      <w:pPr>
        <w:ind w:firstLine="700"/>
        <w:jc w:val="both"/>
      </w:pPr>
      <w:proofErr w:type="spellStart"/>
      <w:proofErr w:type="gramStart"/>
      <w:r w:rsidRPr="004B2DAB">
        <w:t>Чланом</w:t>
      </w:r>
      <w:proofErr w:type="spellEnd"/>
      <w:r w:rsidRPr="004B2DAB">
        <w:t xml:space="preserve"> 193.</w:t>
      </w:r>
      <w:proofErr w:type="gramEnd"/>
      <w:r w:rsidRPr="004B2DAB">
        <w:t xml:space="preserve"> </w:t>
      </w:r>
      <w:proofErr w:type="gramStart"/>
      <w:r w:rsidRPr="004B2DAB">
        <w:t xml:space="preserve">ЗИО </w:t>
      </w:r>
      <w:proofErr w:type="spellStart"/>
      <w:r w:rsidRPr="004B2DAB">
        <w:t>прописано</w:t>
      </w:r>
      <w:proofErr w:type="spellEnd"/>
      <w:r w:rsidRPr="004B2DAB">
        <w:t xml:space="preserve"> </w:t>
      </w:r>
      <w:proofErr w:type="spellStart"/>
      <w:r w:rsidRPr="004B2DAB">
        <w:t>је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предаји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купцу</w:t>
      </w:r>
      <w:proofErr w:type="spellEnd"/>
      <w:r w:rsidRPr="004B2DAB">
        <w:t xml:space="preserve"> </w:t>
      </w:r>
      <w:proofErr w:type="spellStart"/>
      <w:r w:rsidRPr="004B2DAB">
        <w:t>доноси</w:t>
      </w:r>
      <w:proofErr w:type="spellEnd"/>
      <w:r w:rsidRPr="004B2DAB">
        <w:t xml:space="preserve"> </w:t>
      </w:r>
      <w:proofErr w:type="spellStart"/>
      <w:r w:rsidRPr="004B2DAB">
        <w:t>одмах</w:t>
      </w:r>
      <w:proofErr w:type="spellEnd"/>
      <w:r w:rsidRPr="004B2DAB">
        <w:t xml:space="preserve"> </w:t>
      </w:r>
      <w:proofErr w:type="spellStart"/>
      <w:r w:rsidRPr="004B2DAB">
        <w:t>после</w:t>
      </w:r>
      <w:proofErr w:type="spellEnd"/>
      <w:r w:rsidRPr="004B2DAB">
        <w:t xml:space="preserve"> </w:t>
      </w:r>
      <w:proofErr w:type="spellStart"/>
      <w:r w:rsidRPr="004B2DAB">
        <w:t>исплате</w:t>
      </w:r>
      <w:proofErr w:type="spellEnd"/>
      <w:r w:rsidRPr="004B2DAB">
        <w:t xml:space="preserve"> </w:t>
      </w:r>
      <w:proofErr w:type="spellStart"/>
      <w:r w:rsidRPr="004B2DAB">
        <w:t>продајне</w:t>
      </w:r>
      <w:proofErr w:type="spellEnd"/>
      <w:r w:rsidRPr="004B2DAB">
        <w:t xml:space="preserve"> </w:t>
      </w:r>
      <w:proofErr w:type="spellStart"/>
      <w:r w:rsidRPr="004B2DAB">
        <w:t>цене</w:t>
      </w:r>
      <w:proofErr w:type="spellEnd"/>
      <w:r w:rsidRPr="004B2DAB">
        <w:t xml:space="preserve"> и </w:t>
      </w:r>
      <w:proofErr w:type="spellStart"/>
      <w:r w:rsidRPr="004B2DAB">
        <w:t>доставља</w:t>
      </w:r>
      <w:proofErr w:type="spellEnd"/>
      <w:r w:rsidRPr="004B2DAB">
        <w:t xml:space="preserve"> </w:t>
      </w:r>
      <w:proofErr w:type="spellStart"/>
      <w:r w:rsidRPr="004B2DAB">
        <w:t>свима</w:t>
      </w:r>
      <w:proofErr w:type="spellEnd"/>
      <w:r w:rsidRPr="004B2DAB">
        <w:t xml:space="preserve"> </w:t>
      </w:r>
      <w:proofErr w:type="spellStart"/>
      <w:r w:rsidRPr="004B2DAB">
        <w:t>којима</w:t>
      </w:r>
      <w:proofErr w:type="spellEnd"/>
      <w:r w:rsidRPr="004B2DAB">
        <w:t xml:space="preserve"> и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продаји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јавном</w:t>
      </w:r>
      <w:proofErr w:type="spellEnd"/>
      <w:r w:rsidRPr="004B2DAB">
        <w:t xml:space="preserve"> </w:t>
      </w:r>
      <w:proofErr w:type="spellStart"/>
      <w:r w:rsidRPr="004B2DAB">
        <w:t>надметању</w:t>
      </w:r>
      <w:proofErr w:type="spellEnd"/>
      <w:r w:rsidRPr="004B2DAB">
        <w:t xml:space="preserve">, </w:t>
      </w:r>
      <w:proofErr w:type="spellStart"/>
      <w:r w:rsidRPr="004B2DAB">
        <w:t>односно</w:t>
      </w:r>
      <w:proofErr w:type="spellEnd"/>
      <w:r w:rsidRPr="004B2DAB">
        <w:t xml:space="preserve"> </w:t>
      </w:r>
      <w:proofErr w:type="spellStart"/>
      <w:r w:rsidRPr="004B2DAB">
        <w:t>непосредном</w:t>
      </w:r>
      <w:proofErr w:type="spellEnd"/>
      <w:r w:rsidRPr="004B2DAB">
        <w:t xml:space="preserve"> </w:t>
      </w:r>
      <w:proofErr w:type="spellStart"/>
      <w:r w:rsidRPr="004B2DAB">
        <w:t>погодбом</w:t>
      </w:r>
      <w:proofErr w:type="spellEnd"/>
      <w:r w:rsidRPr="004B2DAB">
        <w:t xml:space="preserve">, </w:t>
      </w:r>
      <w:proofErr w:type="spellStart"/>
      <w:r w:rsidRPr="004B2DAB">
        <w:t>као</w:t>
      </w:r>
      <w:proofErr w:type="spellEnd"/>
      <w:r w:rsidRPr="004B2DAB">
        <w:t xml:space="preserve"> и </w:t>
      </w:r>
      <w:proofErr w:type="spellStart"/>
      <w:r w:rsidRPr="004B2DAB">
        <w:t>пореској</w:t>
      </w:r>
      <w:proofErr w:type="spellEnd"/>
      <w:r w:rsidRPr="004B2DAB">
        <w:t xml:space="preserve"> </w:t>
      </w:r>
      <w:proofErr w:type="spellStart"/>
      <w:r w:rsidRPr="004B2DAB">
        <w:t>управи</w:t>
      </w:r>
      <w:proofErr w:type="spellEnd"/>
      <w:r w:rsidRPr="004B2DAB">
        <w:t xml:space="preserve"> и </w:t>
      </w:r>
      <w:proofErr w:type="spellStart"/>
      <w:r w:rsidRPr="004B2DAB">
        <w:t>јединици</w:t>
      </w:r>
      <w:proofErr w:type="spellEnd"/>
      <w:r w:rsidRPr="004B2DAB">
        <w:t xml:space="preserve"> </w:t>
      </w:r>
      <w:proofErr w:type="spellStart"/>
      <w:r w:rsidRPr="004B2DAB">
        <w:t>локалне</w:t>
      </w:r>
      <w:proofErr w:type="spellEnd"/>
      <w:r w:rsidRPr="004B2DAB">
        <w:t xml:space="preserve"> </w:t>
      </w:r>
      <w:proofErr w:type="spellStart"/>
      <w:r w:rsidRPr="004B2DAB">
        <w:t>самоуправе</w:t>
      </w:r>
      <w:proofErr w:type="spellEnd"/>
      <w:r w:rsidRPr="004B2DAB">
        <w:t xml:space="preserve">, </w:t>
      </w:r>
      <w:proofErr w:type="spellStart"/>
      <w:r w:rsidRPr="004B2DAB">
        <w:t>према</w:t>
      </w:r>
      <w:proofErr w:type="spellEnd"/>
      <w:r w:rsidRPr="004B2DAB">
        <w:t xml:space="preserve"> </w:t>
      </w:r>
      <w:proofErr w:type="spellStart"/>
      <w:r w:rsidRPr="004B2DAB">
        <w:t>месту</w:t>
      </w:r>
      <w:proofErr w:type="spellEnd"/>
      <w:r w:rsidRPr="004B2DAB">
        <w:t xml:space="preserve"> </w:t>
      </w:r>
      <w:proofErr w:type="spellStart"/>
      <w:r w:rsidRPr="004B2DAB">
        <w:t>налажења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>.</w:t>
      </w:r>
      <w:proofErr w:type="gramEnd"/>
      <w:r w:rsidRPr="004B2DAB">
        <w:t xml:space="preserve">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предаји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садржи</w:t>
      </w:r>
      <w:proofErr w:type="spellEnd"/>
      <w:r w:rsidRPr="004B2DAB">
        <w:t xml:space="preserve">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непосредном</w:t>
      </w:r>
      <w:proofErr w:type="spellEnd"/>
      <w:r w:rsidRPr="004B2DAB">
        <w:t xml:space="preserve"> </w:t>
      </w:r>
      <w:proofErr w:type="spellStart"/>
      <w:r w:rsidRPr="004B2DAB">
        <w:t>држаоцу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у </w:t>
      </w:r>
      <w:proofErr w:type="spellStart"/>
      <w:r w:rsidRPr="004B2DAB">
        <w:t>одређеном</w:t>
      </w:r>
      <w:proofErr w:type="spellEnd"/>
      <w:r w:rsidRPr="004B2DAB">
        <w:t xml:space="preserve"> </w:t>
      </w:r>
      <w:proofErr w:type="spellStart"/>
      <w:r w:rsidRPr="004B2DAB">
        <w:t>року</w:t>
      </w:r>
      <w:proofErr w:type="spellEnd"/>
      <w:r w:rsidRPr="004B2DAB">
        <w:t xml:space="preserve"> </w:t>
      </w:r>
      <w:proofErr w:type="spellStart"/>
      <w:r w:rsidRPr="004B2DAB">
        <w:t>преда</w:t>
      </w:r>
      <w:proofErr w:type="spellEnd"/>
      <w:r w:rsidRPr="004B2DAB">
        <w:t xml:space="preserve"> </w:t>
      </w:r>
      <w:proofErr w:type="spellStart"/>
      <w:r w:rsidRPr="004B2DAB">
        <w:t>купцу</w:t>
      </w:r>
      <w:proofErr w:type="spellEnd"/>
      <w:r w:rsidRPr="004B2DAB">
        <w:t xml:space="preserve"> </w:t>
      </w:r>
      <w:proofErr w:type="spellStart"/>
      <w:r w:rsidRPr="004B2DAB">
        <w:t>државину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време</w:t>
      </w:r>
      <w:proofErr w:type="spellEnd"/>
      <w:r w:rsidRPr="004B2DAB">
        <w:t xml:space="preserve"> </w:t>
      </w:r>
      <w:proofErr w:type="spellStart"/>
      <w:r w:rsidRPr="004B2DAB">
        <w:t>када</w:t>
      </w:r>
      <w:proofErr w:type="spellEnd"/>
      <w:r w:rsidRPr="004B2DAB">
        <w:t xml:space="preserve"> </w:t>
      </w:r>
      <w:proofErr w:type="spellStart"/>
      <w:r w:rsidRPr="004B2DAB">
        <w:t>купац</w:t>
      </w:r>
      <w:proofErr w:type="spellEnd"/>
      <w:r w:rsidRPr="004B2DAB">
        <w:t xml:space="preserve"> </w:t>
      </w:r>
      <w:proofErr w:type="spellStart"/>
      <w:r w:rsidRPr="004B2DAB">
        <w:t>стиче</w:t>
      </w:r>
      <w:proofErr w:type="spellEnd"/>
      <w:r w:rsidRPr="004B2DAB">
        <w:t xml:space="preserve"> </w:t>
      </w:r>
      <w:proofErr w:type="spellStart"/>
      <w:r w:rsidRPr="004B2DAB">
        <w:t>државину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утврђење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су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угасила</w:t>
      </w:r>
      <w:proofErr w:type="spellEnd"/>
      <w:r w:rsidRPr="004B2DAB">
        <w:t xml:space="preserve"> </w:t>
      </w:r>
      <w:proofErr w:type="spellStart"/>
      <w:r w:rsidRPr="004B2DAB">
        <w:t>заложна</w:t>
      </w:r>
      <w:proofErr w:type="spellEnd"/>
      <w:r w:rsidRPr="004B2DAB">
        <w:t xml:space="preserve"> </w:t>
      </w:r>
      <w:proofErr w:type="spellStart"/>
      <w:r w:rsidRPr="004B2DAB">
        <w:t>права</w:t>
      </w:r>
      <w:proofErr w:type="spellEnd"/>
      <w:r w:rsidRPr="004B2DAB">
        <w:t xml:space="preserve">, </w:t>
      </w:r>
      <w:proofErr w:type="spellStart"/>
      <w:r w:rsidRPr="004B2DAB">
        <w:t>стварне</w:t>
      </w:r>
      <w:proofErr w:type="spellEnd"/>
      <w:r w:rsidRPr="004B2DAB">
        <w:t xml:space="preserve"> </w:t>
      </w:r>
      <w:proofErr w:type="spellStart"/>
      <w:r w:rsidRPr="004B2DAB">
        <w:t>службености</w:t>
      </w:r>
      <w:proofErr w:type="spellEnd"/>
      <w:r w:rsidRPr="004B2DAB">
        <w:t xml:space="preserve"> и </w:t>
      </w:r>
      <w:proofErr w:type="spellStart"/>
      <w:r w:rsidRPr="004B2DAB">
        <w:t>стварни</w:t>
      </w:r>
      <w:proofErr w:type="spellEnd"/>
      <w:r w:rsidRPr="004B2DAB">
        <w:t xml:space="preserve"> </w:t>
      </w:r>
      <w:proofErr w:type="spellStart"/>
      <w:r w:rsidRPr="004B2DAB">
        <w:t>терети</w:t>
      </w:r>
      <w:proofErr w:type="spellEnd"/>
      <w:r w:rsidRPr="004B2DAB">
        <w:t xml:space="preserve"> </w:t>
      </w:r>
      <w:proofErr w:type="spellStart"/>
      <w:r w:rsidRPr="004B2DAB">
        <w:t>који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гасе</w:t>
      </w:r>
      <w:proofErr w:type="spellEnd"/>
      <w:r w:rsidRPr="004B2DAB">
        <w:t xml:space="preserve"> </w:t>
      </w:r>
      <w:proofErr w:type="spellStart"/>
      <w:r w:rsidRPr="004B2DAB">
        <w:t>продајом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стицање</w:t>
      </w:r>
      <w:proofErr w:type="spellEnd"/>
      <w:r w:rsidRPr="004B2DAB">
        <w:t xml:space="preserve"> </w:t>
      </w:r>
      <w:proofErr w:type="spellStart"/>
      <w:r w:rsidRPr="004B2DAB">
        <w:t>својине</w:t>
      </w:r>
      <w:proofErr w:type="spellEnd"/>
      <w:r w:rsidRPr="004B2DAB">
        <w:t xml:space="preserve"> </w:t>
      </w:r>
      <w:proofErr w:type="spellStart"/>
      <w:r w:rsidRPr="004B2DAB">
        <w:t>купца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упише</w:t>
      </w:r>
      <w:proofErr w:type="spellEnd"/>
      <w:r w:rsidRPr="004B2DAB">
        <w:t xml:space="preserve"> у </w:t>
      </w:r>
      <w:proofErr w:type="spellStart"/>
      <w:r w:rsidRPr="004B2DAB">
        <w:t>катастар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као</w:t>
      </w:r>
      <w:proofErr w:type="spellEnd"/>
      <w:r w:rsidRPr="004B2DAB">
        <w:t xml:space="preserve"> и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из</w:t>
      </w:r>
      <w:proofErr w:type="spellEnd"/>
      <w:r w:rsidRPr="004B2DAB">
        <w:t xml:space="preserve"> </w:t>
      </w:r>
      <w:proofErr w:type="spellStart"/>
      <w:r w:rsidRPr="004B2DAB">
        <w:t>катастра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бришу</w:t>
      </w:r>
      <w:proofErr w:type="spellEnd"/>
      <w:r w:rsidRPr="004B2DAB">
        <w:t xml:space="preserve"> </w:t>
      </w:r>
      <w:proofErr w:type="spellStart"/>
      <w:r w:rsidRPr="004B2DAB">
        <w:t>права</w:t>
      </w:r>
      <w:proofErr w:type="spellEnd"/>
      <w:r w:rsidRPr="004B2DAB">
        <w:t xml:space="preserve"> и </w:t>
      </w:r>
      <w:proofErr w:type="spellStart"/>
      <w:r w:rsidRPr="004B2DAB">
        <w:t>терети</w:t>
      </w:r>
      <w:proofErr w:type="spellEnd"/>
      <w:r w:rsidRPr="004B2DAB">
        <w:t xml:space="preserve"> </w:t>
      </w:r>
      <w:proofErr w:type="spellStart"/>
      <w:r w:rsidRPr="004B2DAB">
        <w:t>који</w:t>
      </w:r>
      <w:proofErr w:type="spellEnd"/>
      <w:r w:rsidRPr="004B2DAB">
        <w:t xml:space="preserve"> </w:t>
      </w:r>
      <w:proofErr w:type="spellStart"/>
      <w:r w:rsidRPr="004B2DAB">
        <w:t>су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угасили</w:t>
      </w:r>
      <w:proofErr w:type="spellEnd"/>
      <w:r w:rsidRPr="004B2DAB">
        <w:t xml:space="preserve"> </w:t>
      </w:r>
      <w:proofErr w:type="spellStart"/>
      <w:r w:rsidRPr="004B2DAB">
        <w:t>куповином</w:t>
      </w:r>
      <w:proofErr w:type="spellEnd"/>
      <w:r w:rsidRPr="004B2DAB">
        <w:t xml:space="preserve"> </w:t>
      </w:r>
      <w:proofErr w:type="spellStart"/>
      <w:r w:rsidRPr="004B2DAB">
        <w:t>или</w:t>
      </w:r>
      <w:proofErr w:type="spellEnd"/>
      <w:r w:rsidRPr="004B2DAB">
        <w:t xml:space="preserve"> </w:t>
      </w:r>
      <w:proofErr w:type="spellStart"/>
      <w:r w:rsidRPr="004B2DAB">
        <w:t>које</w:t>
      </w:r>
      <w:proofErr w:type="spellEnd"/>
      <w:r w:rsidRPr="004B2DAB">
        <w:t xml:space="preserve"> </w:t>
      </w:r>
      <w:proofErr w:type="spellStart"/>
      <w:r w:rsidRPr="004B2DAB">
        <w:t>купац</w:t>
      </w:r>
      <w:proofErr w:type="spellEnd"/>
      <w:r w:rsidRPr="004B2DAB">
        <w:t xml:space="preserve"> </w:t>
      </w:r>
      <w:proofErr w:type="spellStart"/>
      <w:r w:rsidRPr="004B2DAB">
        <w:t>није</w:t>
      </w:r>
      <w:proofErr w:type="spellEnd"/>
      <w:r w:rsidRPr="004B2DAB">
        <w:t xml:space="preserve"> </w:t>
      </w:r>
      <w:proofErr w:type="spellStart"/>
      <w:r w:rsidRPr="004B2DAB">
        <w:t>преузео</w:t>
      </w:r>
      <w:proofErr w:type="spellEnd"/>
      <w:r w:rsidRPr="004B2DAB">
        <w:t>.</w:t>
      </w:r>
    </w:p>
    <w:p w:rsidR="00027724" w:rsidRPr="004B2DAB" w:rsidRDefault="00027724" w:rsidP="00027724">
      <w:pPr>
        <w:pStyle w:val="ListParagraph1"/>
        <w:ind w:left="0" w:firstLine="70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22.</w:t>
      </w:r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тачком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поступку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водова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(“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Сл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гласник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РС”,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>. 41/2018 и 95/2018)</w:t>
      </w:r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лица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органи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захтев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преко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е- </w:t>
      </w:r>
      <w:proofErr w:type="spellStart"/>
      <w:r w:rsidRPr="004B2DAB">
        <w:rPr>
          <w:rFonts w:ascii="Times New Roman" w:hAnsi="Times New Roman"/>
          <w:sz w:val="24"/>
          <w:szCs w:val="24"/>
        </w:rPr>
        <w:t>шалтера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ради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доносе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састављају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потврђују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оверавају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DAB">
        <w:rPr>
          <w:rFonts w:ascii="Times New Roman" w:hAnsi="Times New Roman"/>
          <w:sz w:val="24"/>
          <w:szCs w:val="24"/>
        </w:rPr>
        <w:t>јавни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извршитељи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одлуке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случајевима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начин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уређује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правни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основ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обвезник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B2DAB">
        <w:rPr>
          <w:rFonts w:ascii="Times New Roman" w:hAnsi="Times New Roman"/>
          <w:sz w:val="24"/>
          <w:szCs w:val="24"/>
        </w:rPr>
        <w:t>овог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члана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дужан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исправи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оверава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одлуци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доноси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складу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овим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ради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наведе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следеће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податке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лицима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родитеља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презиме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пребивалишта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боравишта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јединствени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странца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јединст</w:t>
      </w:r>
      <w:bookmarkStart w:id="0" w:name="_GoBack"/>
      <w:bookmarkEnd w:id="0"/>
      <w:r w:rsidRPr="004B2DAB">
        <w:rPr>
          <w:rFonts w:ascii="Times New Roman" w:hAnsi="Times New Roman"/>
          <w:sz w:val="24"/>
          <w:szCs w:val="24"/>
          <w:u w:val="single"/>
        </w:rPr>
        <w:t>веног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идентификациони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из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важеће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путне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издао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надлежни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пословно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евиденцију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ако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нема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страно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државе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назив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регистра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стицања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току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трајања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уписује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целој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сувласничком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уделу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случају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постојања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настанка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података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чињеници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унетог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обвезник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доставља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органу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надлежном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послове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државног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премера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катастра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>.</w:t>
      </w:r>
    </w:p>
    <w:p w:rsidR="00027724" w:rsidRPr="004B2DAB" w:rsidRDefault="00027724" w:rsidP="00027724">
      <w:pPr>
        <w:pStyle w:val="ListParagraph1"/>
        <w:ind w:left="0" w:firstLine="700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4B2DAB">
        <w:rPr>
          <w:rFonts w:ascii="Times New Roman" w:hAnsi="Times New Roman"/>
          <w:sz w:val="24"/>
          <w:szCs w:val="24"/>
        </w:rPr>
        <w:lastRenderedPageBreak/>
        <w:t>Чланом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160.</w:t>
      </w:r>
      <w:proofErr w:type="gram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2DAB"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стварне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гасе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гасе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личне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стварни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терети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заложног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решења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4B2DAB">
        <w:rPr>
          <w:rFonts w:ascii="Times New Roman" w:hAnsi="Times New Roman"/>
          <w:sz w:val="24"/>
          <w:szCs w:val="24"/>
        </w:rPr>
        <w:t>.</w:t>
      </w:r>
      <w:proofErr w:type="gramEnd"/>
      <w:r w:rsidRPr="004B2DAB">
        <w:rPr>
          <w:rFonts w:ascii="Times New Roman" w:hAnsi="Times New Roman"/>
          <w:sz w:val="24"/>
          <w:szCs w:val="24"/>
        </w:rPr>
        <w:t xml:space="preserve"> </w:t>
      </w:r>
    </w:p>
    <w:p w:rsidR="00027724" w:rsidRPr="004B2DAB" w:rsidRDefault="004B2DAB" w:rsidP="004B2DAB">
      <w:pPr>
        <w:pStyle w:val="ListParagraph1"/>
        <w:ind w:left="0" w:firstLine="700"/>
        <w:rPr>
          <w:rFonts w:ascii="Times New Roman" w:hAnsi="Times New Roman"/>
          <w:color w:val="000000" w:themeColor="text1"/>
          <w:sz w:val="24"/>
          <w:szCs w:val="24"/>
          <w:lang/>
        </w:rPr>
      </w:pPr>
      <w:proofErr w:type="spellStart"/>
      <w:proofErr w:type="gram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Увидом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у ПИС,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јавни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извршитељ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утврдио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купац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браку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2DAB">
        <w:rPr>
          <w:rFonts w:ascii="Times New Roman" w:hAnsi="Times New Roman"/>
          <w:sz w:val="24"/>
          <w:szCs w:val="24"/>
          <w:lang/>
        </w:rPr>
        <w:t>Смиљом Милутиновић</w:t>
      </w:r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ЈМБГ 1309974735010,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име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оца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2DAB">
        <w:rPr>
          <w:rFonts w:ascii="Times New Roman" w:hAnsi="Times New Roman"/>
          <w:sz w:val="24"/>
          <w:szCs w:val="24"/>
          <w:lang/>
        </w:rPr>
        <w:t>Небојша</w:t>
      </w:r>
      <w:r w:rsidRPr="004B2D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027724" w:rsidRPr="004B2DAB" w:rsidRDefault="00027724" w:rsidP="00027724">
      <w:pPr>
        <w:pStyle w:val="pStyle2"/>
        <w:rPr>
          <w:sz w:val="24"/>
          <w:szCs w:val="24"/>
        </w:rPr>
      </w:pPr>
      <w:r w:rsidRPr="004B2DAB">
        <w:rPr>
          <w:sz w:val="24"/>
          <w:szCs w:val="24"/>
        </w:rPr>
        <w:t>Имајући изнето у виду, јавни извршитељ је одлучио као у изреци.</w:t>
      </w:r>
    </w:p>
    <w:p w:rsidR="00027724" w:rsidRPr="004B2DAB" w:rsidRDefault="00027724" w:rsidP="00027724"/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 xml:space="preserve">Поука о правном леку: </w:t>
      </w:r>
    </w:p>
    <w:p w:rsidR="00027724" w:rsidRPr="004B2DAB" w:rsidRDefault="00027724" w:rsidP="00027724">
      <w:pPr>
        <w:pStyle w:val="pStyle"/>
        <w:rPr>
          <w:sz w:val="24"/>
          <w:szCs w:val="24"/>
        </w:rPr>
      </w:pPr>
      <w:r w:rsidRPr="004B2DAB">
        <w:rPr>
          <w:sz w:val="24"/>
          <w:szCs w:val="24"/>
        </w:rPr>
        <w:t>Против овог закључка није дозвољен приговор.</w:t>
      </w:r>
    </w:p>
    <w:p w:rsidR="00027724" w:rsidRPr="004B2DAB" w:rsidRDefault="00027724" w:rsidP="00027724"/>
    <w:p w:rsidR="00027724" w:rsidRPr="004B2DAB" w:rsidRDefault="00027724" w:rsidP="00027724">
      <w:pPr>
        <w:pStyle w:val="pStyle4"/>
        <w:rPr>
          <w:sz w:val="24"/>
          <w:szCs w:val="24"/>
        </w:rPr>
      </w:pPr>
      <w:r w:rsidRPr="004B2DAB">
        <w:rPr>
          <w:b/>
          <w:sz w:val="24"/>
          <w:szCs w:val="24"/>
        </w:rPr>
        <w:t>Јавни извршитељ</w:t>
      </w:r>
    </w:p>
    <w:p w:rsidR="00027724" w:rsidRPr="004B2DAB" w:rsidRDefault="00027724" w:rsidP="00027724">
      <w:pPr>
        <w:pStyle w:val="pStyle4"/>
        <w:rPr>
          <w:sz w:val="24"/>
          <w:szCs w:val="24"/>
        </w:rPr>
      </w:pPr>
      <w:r w:rsidRPr="004B2DAB">
        <w:rPr>
          <w:sz w:val="24"/>
          <w:szCs w:val="24"/>
        </w:rPr>
        <w:t>_____________</w:t>
      </w:r>
    </w:p>
    <w:p w:rsidR="00027724" w:rsidRPr="004B2DAB" w:rsidRDefault="00027724" w:rsidP="00027724">
      <w:pPr>
        <w:pStyle w:val="pStyle4"/>
        <w:rPr>
          <w:sz w:val="24"/>
          <w:szCs w:val="24"/>
        </w:rPr>
      </w:pPr>
      <w:r w:rsidRPr="004B2DAB">
        <w:rPr>
          <w:sz w:val="24"/>
          <w:szCs w:val="24"/>
        </w:rPr>
        <w:t>др Жарко Димитријевић</w:t>
      </w:r>
    </w:p>
    <w:p w:rsidR="00027724" w:rsidRPr="004B2DAB" w:rsidRDefault="00027724" w:rsidP="00027724">
      <w:pPr>
        <w:pStyle w:val="indented"/>
      </w:pPr>
    </w:p>
    <w:p w:rsidR="00027724" w:rsidRPr="004B2DAB" w:rsidRDefault="00027724" w:rsidP="00027724">
      <w:pPr>
        <w:pStyle w:val="indented"/>
      </w:pPr>
    </w:p>
    <w:p w:rsidR="000E7F9C" w:rsidRPr="004B2DAB" w:rsidRDefault="000E7F9C" w:rsidP="00027724">
      <w:pPr>
        <w:pStyle w:val="indented"/>
      </w:pPr>
    </w:p>
    <w:sectPr w:rsidR="000E7F9C" w:rsidRPr="004B2DAB" w:rsidSect="004B2DAB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5459E"/>
    <w:multiLevelType w:val="multilevel"/>
    <w:tmpl w:val="7268A09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76EB109"/>
    <w:multiLevelType w:val="multilevel"/>
    <w:tmpl w:val="5E7C409A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35D5A05"/>
    <w:multiLevelType w:val="multilevel"/>
    <w:tmpl w:val="CA56CB7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88C83D4"/>
    <w:multiLevelType w:val="multilevel"/>
    <w:tmpl w:val="7B5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B115E"/>
    <w:multiLevelType w:val="hybridMultilevel"/>
    <w:tmpl w:val="C8ECC492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E40F0F"/>
    <w:multiLevelType w:val="multilevel"/>
    <w:tmpl w:val="74E40F0F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6232"/>
    <w:rsid w:val="00027724"/>
    <w:rsid w:val="000E7F9C"/>
    <w:rsid w:val="004B2DAB"/>
    <w:rsid w:val="004D6232"/>
    <w:rsid w:val="00CB76B9"/>
    <w:rsid w:val="00D4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232"/>
    <w:pPr>
      <w:spacing w:after="0"/>
    </w:pPr>
  </w:style>
  <w:style w:type="paragraph" w:styleId="Heading1">
    <w:name w:val="heading 1"/>
    <w:basedOn w:val="Normal"/>
    <w:rsid w:val="004D6232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4D6232"/>
    <w:rPr>
      <w:vertAlign w:val="superscript"/>
    </w:rPr>
  </w:style>
  <w:style w:type="paragraph" w:customStyle="1" w:styleId="indented">
    <w:name w:val="indented"/>
    <w:basedOn w:val="Normal"/>
    <w:rsid w:val="004D6232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4D6232"/>
    <w:pPr>
      <w:spacing w:before="100" w:after="100"/>
      <w:jc w:val="both"/>
    </w:pPr>
  </w:style>
  <w:style w:type="paragraph" w:customStyle="1" w:styleId="leftaligned">
    <w:name w:val="left_aligned"/>
    <w:basedOn w:val="Normal"/>
    <w:rsid w:val="004D6232"/>
  </w:style>
  <w:style w:type="paragraph" w:customStyle="1" w:styleId="rightaligned">
    <w:name w:val="right_aligned"/>
    <w:basedOn w:val="Normal"/>
    <w:rsid w:val="004D6232"/>
    <w:pPr>
      <w:jc w:val="right"/>
    </w:pPr>
  </w:style>
  <w:style w:type="paragraph" w:customStyle="1" w:styleId="centeraligned">
    <w:name w:val="center_aligned"/>
    <w:basedOn w:val="Normal"/>
    <w:rsid w:val="004D6232"/>
    <w:pPr>
      <w:jc w:val="center"/>
    </w:pPr>
  </w:style>
  <w:style w:type="paragraph" w:customStyle="1" w:styleId="justify">
    <w:name w:val="justify"/>
    <w:basedOn w:val="Normal"/>
    <w:rsid w:val="004D6232"/>
    <w:pPr>
      <w:jc w:val="both"/>
    </w:pPr>
  </w:style>
  <w:style w:type="paragraph" w:customStyle="1" w:styleId="Header1">
    <w:name w:val="Header1"/>
    <w:basedOn w:val="Normal"/>
    <w:rsid w:val="004D6232"/>
    <w:pPr>
      <w:ind w:right="5000"/>
    </w:pPr>
  </w:style>
  <w:style w:type="paragraph" w:customStyle="1" w:styleId="heading11">
    <w:name w:val="heading 11"/>
    <w:basedOn w:val="Normal"/>
    <w:rsid w:val="004D6232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4D6232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4D6232"/>
    <w:pPr>
      <w:spacing w:after="200"/>
      <w:jc w:val="center"/>
    </w:pPr>
    <w:rPr>
      <w:b/>
      <w:bCs/>
    </w:rPr>
  </w:style>
  <w:style w:type="table" w:customStyle="1" w:styleId="2a6a246c">
    <w:name w:val="2a6a246c"/>
    <w:uiPriority w:val="99"/>
    <w:rsid w:val="004D62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71ace4c">
    <w:name w:val="c71ace4c"/>
    <w:uiPriority w:val="99"/>
    <w:rsid w:val="004D6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027724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027724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027724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027724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027724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027724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F6C3-B83E-4882-9226-1C4D8FD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3</cp:revision>
  <cp:lastPrinted>2022-08-24T07:30:00Z</cp:lastPrinted>
  <dcterms:created xsi:type="dcterms:W3CDTF">2022-08-24T07:29:00Z</dcterms:created>
  <dcterms:modified xsi:type="dcterms:W3CDTF">2022-08-24T07:33:00Z</dcterms:modified>
</cp:coreProperties>
</file>