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e8d81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0"/>
        <w:gridCol w:w="8503"/>
      </w:tblGrid>
      <w:tr w:rsidR="005F7F14">
        <w:trPr>
          <w:trHeight w:val="14"/>
        </w:trPr>
        <w:tc>
          <w:tcPr>
            <w:tcW w:w="1700" w:type="dxa"/>
          </w:tcPr>
          <w:p w:rsidR="005F7F14" w:rsidRDefault="005D5067">
            <w:pPr>
              <w:pStyle w:val="leftaligned"/>
            </w:pPr>
            <w:r>
              <w:rPr>
                <w:noProof/>
              </w:rPr>
              <w:drawing>
                <wp:inline distT="0" distB="0" distL="114300" distR="114300">
                  <wp:extent cx="496570" cy="971550"/>
                  <wp:effectExtent l="0" t="0" r="177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7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 w:rsidR="005F7F14" w:rsidRDefault="005D5067">
            <w:pPr>
              <w:pStyle w:val="rightaligned"/>
            </w:pPr>
            <w:r>
              <w:rPr>
                <w:noProof/>
              </w:rPr>
              <w:drawing>
                <wp:inline distT="0" distB="0" distL="114300" distR="114300">
                  <wp:extent cx="1619885" cy="431800"/>
                  <wp:effectExtent l="0" t="0" r="1841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7F14" w:rsidRDefault="005D5067">
      <w:r>
        <w:rPr>
          <w:b/>
          <w:bCs/>
        </w:rPr>
        <w:t>РЕПУБЛИКА СРБИЈА</w:t>
      </w:r>
    </w:p>
    <w:p w:rsidR="005F7F14" w:rsidRDefault="005D5067">
      <w:r>
        <w:rPr>
          <w:b/>
          <w:bCs/>
        </w:rPr>
        <w:t>ЈАВНИ ИЗВРШИТЕЉ ДР ЖАРКО ДИМИТРИЈЕВИЋ</w:t>
      </w:r>
    </w:p>
    <w:p w:rsidR="005F7F14" w:rsidRDefault="005D5067">
      <w:r>
        <w:rPr>
          <w:b/>
          <w:bCs/>
        </w:rPr>
        <w:t>Ниш, Мачванска 1</w:t>
      </w:r>
    </w:p>
    <w:p w:rsidR="005F7F14" w:rsidRDefault="005D5067">
      <w:pPr>
        <w:pStyle w:val="pStyle"/>
      </w:pPr>
      <w:r>
        <w:rPr>
          <w:b/>
          <w:sz w:val="24"/>
          <w:szCs w:val="24"/>
        </w:rPr>
        <w:t>Број предмета: ИИВ 492/19</w:t>
      </w:r>
    </w:p>
    <w:p w:rsidR="005F7F14" w:rsidRDefault="005D5067">
      <w:pPr>
        <w:pStyle w:val="pStyle"/>
      </w:pPr>
      <w:r>
        <w:rPr>
          <w:b/>
          <w:sz w:val="24"/>
          <w:szCs w:val="24"/>
        </w:rPr>
        <w:t>Идент. број предмета: 77-02-00492-19-0025</w:t>
      </w:r>
    </w:p>
    <w:p w:rsidR="005F7F14" w:rsidRDefault="005D5067">
      <w:pPr>
        <w:pStyle w:val="pStyle"/>
      </w:pPr>
      <w:r>
        <w:rPr>
          <w:b/>
          <w:sz w:val="24"/>
          <w:szCs w:val="24"/>
        </w:rPr>
        <w:t>Дана: 06.01.2023. године</w:t>
      </w:r>
    </w:p>
    <w:p w:rsidR="005F7F14" w:rsidRDefault="005F7F14"/>
    <w:p w:rsidR="005F7F14" w:rsidRDefault="005D5067">
      <w:pPr>
        <w:pStyle w:val="pStyle2"/>
      </w:pPr>
      <w:r>
        <w:rPr>
          <w:sz w:val="24"/>
          <w:szCs w:val="24"/>
        </w:rPr>
        <w:t xml:space="preserve">ЈАВНИ ИЗВРШИТЕЉ др Жарко Димитријевић, у извршном предмету </w:t>
      </w:r>
    </w:p>
    <w:p w:rsidR="005F7F14" w:rsidRDefault="005D5067">
      <w:pPr>
        <w:pStyle w:val="pStyle2"/>
      </w:pPr>
      <w:r>
        <w:rPr>
          <w:b/>
          <w:sz w:val="24"/>
          <w:szCs w:val="24"/>
        </w:rPr>
        <w:t xml:space="preserve">Извршног повериоца: АДВОКАТ ВЛАДИМИР ЂОРЂЕВИЋ, Врање, ул. Партизанска бр. 11д, МБ 57323841, ПИБ 108375382, број рачуна 105-24379-30 који се води код банке АГРОИНДУСТРИЈСКО КОМЕРЦИЈАЛНА БАНКА "АИК БАНКА" А.Д. БЕОГРАД, </w:t>
      </w:r>
      <w:r>
        <w:rPr>
          <w:sz w:val="24"/>
          <w:szCs w:val="24"/>
        </w:rPr>
        <w:t>кога заступа адв. Марко Алексић, Врање,</w:t>
      </w:r>
      <w:r>
        <w:rPr>
          <w:sz w:val="24"/>
          <w:szCs w:val="24"/>
        </w:rPr>
        <w:t xml:space="preserve"> Партизанска бр. 11д,  по пуномоћју у списима предмета против </w:t>
      </w:r>
    </w:p>
    <w:p w:rsidR="005F7F14" w:rsidRDefault="005D5067" w:rsidP="003C17AC">
      <w:pPr>
        <w:pStyle w:val="indented"/>
        <w:ind w:firstLineChars="308" w:firstLine="742"/>
      </w:pPr>
      <w:r>
        <w:rPr>
          <w:b/>
        </w:rPr>
        <w:t>Извршног дужника: Драгана Стојилковић, Бујановац, ул. Краља Милутина бр. 042, ЈМБГ 0411980735036, који је власник ДРАГАНА СТОЈИЛКОВИЋ ПР УГОСТИТЕЉСКЕ УСЛУГЕ КОД ГАГЕ 027 ПРОКУПЉЕ, Ратка Павлови</w:t>
      </w:r>
      <w:r>
        <w:rPr>
          <w:b/>
        </w:rPr>
        <w:t xml:space="preserve">ћа Ћићка бр. 181, Прокупље, МБ 66022323, ПИБ 112317607, број рачуна 325-9500500623467-52 који се води код банке Војвођанска банка А.Д. НОВИ САД, ИД (23/19) </w:t>
      </w:r>
      <w:r>
        <w:t>ради спровођења извршења одређеног Решењем о извршењу Основног суда у Нишу ИИв-1226/2019 од 17.12.20</w:t>
      </w:r>
      <w:r>
        <w:t>19. године</w:t>
      </w:r>
      <w:r>
        <w:t xml:space="preserve">, </w:t>
      </w:r>
      <w:r>
        <w:rPr>
          <w:sz w:val="22"/>
          <w:szCs w:val="22"/>
        </w:rPr>
        <w:t xml:space="preserve">у складу са одредбом чланова </w:t>
      </w:r>
      <w:r>
        <w:t>23, 180, 193, 194. ЗИО</w:t>
      </w:r>
      <w:r>
        <w:rPr>
          <w:sz w:val="22"/>
          <w:szCs w:val="22"/>
        </w:rPr>
        <w:t xml:space="preserve"> (“Сл. гласник РС”, бр. 106/2015 и 106/2016- аутентично тумачење)</w:t>
      </w:r>
      <w:r>
        <w:rPr>
          <w:sz w:val="22"/>
          <w:szCs w:val="22"/>
        </w:rPr>
        <w:t xml:space="preserve">, </w:t>
      </w:r>
      <w:r>
        <w:t>06.01.2023. године, доноси</w:t>
      </w:r>
    </w:p>
    <w:p w:rsidR="005F7F14" w:rsidRDefault="005F7F14"/>
    <w:p w:rsidR="005F7F14" w:rsidRDefault="005F7F14"/>
    <w:p w:rsidR="005F7F14" w:rsidRDefault="005D5067">
      <w:pPr>
        <w:pStyle w:val="pStyle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 А К Љ У Ч 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К</w:t>
      </w:r>
    </w:p>
    <w:p w:rsidR="005F7F14" w:rsidRDefault="005F7F14">
      <w:pPr>
        <w:pStyle w:val="pStyle3"/>
        <w:rPr>
          <w:b/>
          <w:sz w:val="24"/>
          <w:szCs w:val="24"/>
        </w:rPr>
      </w:pPr>
    </w:p>
    <w:p w:rsidR="005F7F14" w:rsidRDefault="005D5067">
      <w:pPr>
        <w:pStyle w:val="pStyle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</w:t>
      </w:r>
    </w:p>
    <w:p w:rsidR="005F7F14" w:rsidRDefault="005F7F14">
      <w:pPr>
        <w:pStyle w:val="pStyle3"/>
        <w:jc w:val="both"/>
        <w:rPr>
          <w:b/>
          <w:sz w:val="24"/>
          <w:szCs w:val="24"/>
        </w:rPr>
      </w:pPr>
    </w:p>
    <w:p w:rsidR="005F7F14" w:rsidRDefault="005D5067">
      <w:pPr>
        <w:pStyle w:val="pStyle2"/>
        <w:numPr>
          <w:ilvl w:val="255"/>
          <w:numId w:val="0"/>
        </w:num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ИЗВРШНОМ ПОВЕРИОЦУ: </w:t>
      </w:r>
      <w:r>
        <w:rPr>
          <w:b/>
          <w:sz w:val="24"/>
          <w:szCs w:val="24"/>
        </w:rPr>
        <w:t>АДВОКАТ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 ВЛАДИМИР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 ЂОРЂЕВИЋ</w:t>
      </w:r>
      <w:r>
        <w:rPr>
          <w:b/>
          <w:sz w:val="24"/>
          <w:szCs w:val="24"/>
        </w:rPr>
        <w:t>У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из</w:t>
      </w:r>
      <w:r>
        <w:rPr>
          <w:bCs/>
          <w:sz w:val="24"/>
          <w:szCs w:val="24"/>
        </w:rPr>
        <w:t>Врањ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, ул. Партизанска </w:t>
      </w:r>
      <w:r>
        <w:rPr>
          <w:bCs/>
          <w:sz w:val="24"/>
          <w:szCs w:val="24"/>
        </w:rPr>
        <w:t>бр. 11д, МБ 57323841, ПИБ 108375382, број рачуна 105-24379-30 који се води код банке АГРОИНДУСТРИЈСКО КОМЕРЦИЈАЛНА БАНКА "АИК БАНКА" А.Д. БЕОГРАД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кога заступа адв. Марко Алексић, Врање, Партизанска бр. 11д</w:t>
      </w:r>
      <w:r>
        <w:rPr>
          <w:b/>
          <w:bCs/>
          <w:sz w:val="24"/>
          <w:szCs w:val="24"/>
        </w:rPr>
        <w:t>ДОДЕЉУЈ</w:t>
      </w:r>
      <w:r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>СЕ И ПРЕДАЈ</w:t>
      </w:r>
      <w:r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ПОКРЕТН</w:t>
      </w:r>
      <w:r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 СТВАР, и то:</w:t>
      </w:r>
    </w:p>
    <w:p w:rsidR="005F7F14" w:rsidRDefault="005F7F14">
      <w:pPr>
        <w:pStyle w:val="pStyle2"/>
        <w:numPr>
          <w:ilvl w:val="255"/>
          <w:numId w:val="0"/>
        </w:numPr>
        <w:ind w:firstLine="708"/>
        <w:rPr>
          <w:b/>
          <w:bCs/>
          <w:sz w:val="24"/>
          <w:szCs w:val="24"/>
        </w:rPr>
      </w:pPr>
    </w:p>
    <w:p w:rsidR="005F7F14" w:rsidRDefault="005D5067">
      <w:pPr>
        <w:numPr>
          <w:ilvl w:val="0"/>
          <w:numId w:val="1"/>
        </w:numPr>
      </w:pPr>
      <w:r>
        <w:rPr>
          <w:b/>
          <w:bCs/>
        </w:rPr>
        <w:t>FIAT P</w:t>
      </w:r>
      <w:r>
        <w:rPr>
          <w:b/>
          <w:bCs/>
        </w:rPr>
        <w:t xml:space="preserve">UNTO, </w:t>
      </w:r>
      <w:r>
        <w:t>рег.ознака</w:t>
      </w:r>
      <w:r>
        <w:rPr>
          <w:b/>
          <w:bCs/>
        </w:rPr>
        <w:t xml:space="preserve"> : BU029-CL, </w:t>
      </w:r>
      <w:r>
        <w:t>процењен на износ од 95.000,00 динара</w:t>
      </w:r>
    </w:p>
    <w:p w:rsidR="005F7F14" w:rsidRDefault="005F7F14"/>
    <w:p w:rsidR="005F7F14" w:rsidRDefault="005D5067">
      <w:pPr>
        <w:pStyle w:val="pStyle2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 </w:t>
      </w:r>
    </w:p>
    <w:p w:rsidR="005F7F14" w:rsidRDefault="005F7F14">
      <w:pPr>
        <w:pStyle w:val="pStyle2"/>
        <w:ind w:firstLine="0"/>
        <w:rPr>
          <w:b/>
          <w:sz w:val="24"/>
          <w:szCs w:val="24"/>
        </w:rPr>
      </w:pPr>
    </w:p>
    <w:p w:rsidR="005F7F14" w:rsidRDefault="005D5067">
      <w:pPr>
        <w:pStyle w:val="pStyle2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Утврђује</w:t>
      </w:r>
      <w:r>
        <w:rPr>
          <w:bCs/>
          <w:sz w:val="24"/>
          <w:szCs w:val="24"/>
        </w:rPr>
        <w:t xml:space="preserve"> се да је извршни поверилац намирио своје потраживање у укупном износу од  </w:t>
      </w:r>
      <w:r>
        <w:rPr>
          <w:b/>
          <w:sz w:val="24"/>
          <w:szCs w:val="24"/>
        </w:rPr>
        <w:t>47.500,00 динара</w:t>
      </w:r>
      <w:r>
        <w:rPr>
          <w:bCs/>
          <w:sz w:val="24"/>
          <w:szCs w:val="24"/>
        </w:rPr>
        <w:t>, који износ представља 50% процењене вредности покретних ствари.</w:t>
      </w:r>
    </w:p>
    <w:p w:rsidR="005F7F14" w:rsidRDefault="005F7F14">
      <w:pPr>
        <w:jc w:val="both"/>
        <w:rPr>
          <w:b/>
          <w:bCs/>
        </w:rPr>
      </w:pPr>
    </w:p>
    <w:p w:rsidR="005F7F14" w:rsidRDefault="005D5067">
      <w:pPr>
        <w:pStyle w:val="pStyle3"/>
        <w:rPr>
          <w:sz w:val="24"/>
          <w:szCs w:val="24"/>
        </w:rPr>
      </w:pPr>
      <w:r>
        <w:rPr>
          <w:b/>
          <w:sz w:val="24"/>
          <w:szCs w:val="24"/>
        </w:rPr>
        <w:t>Образложење:</w:t>
      </w:r>
    </w:p>
    <w:p w:rsidR="005F7F14" w:rsidRDefault="005F7F14"/>
    <w:p w:rsidR="005F7F14" w:rsidRDefault="005D5067">
      <w:pPr>
        <w:pStyle w:val="pStyle2"/>
        <w:rPr>
          <w:sz w:val="24"/>
          <w:szCs w:val="24"/>
        </w:rPr>
      </w:pPr>
      <w:r>
        <w:rPr>
          <w:sz w:val="24"/>
          <w:szCs w:val="24"/>
        </w:rPr>
        <w:t>Да</w:t>
      </w:r>
      <w:r>
        <w:rPr>
          <w:sz w:val="24"/>
          <w:szCs w:val="24"/>
        </w:rPr>
        <w:t xml:space="preserve">на </w:t>
      </w:r>
      <w:r>
        <w:rPr>
          <w:sz w:val="24"/>
          <w:szCs w:val="24"/>
        </w:rPr>
        <w:t>04</w:t>
      </w:r>
      <w:r>
        <w:rPr>
          <w:sz w:val="24"/>
          <w:szCs w:val="24"/>
        </w:rPr>
        <w:t>.11.202</w:t>
      </w:r>
      <w:r>
        <w:rPr>
          <w:sz w:val="24"/>
          <w:szCs w:val="24"/>
        </w:rPr>
        <w:t>2</w:t>
      </w:r>
      <w:r>
        <w:rPr>
          <w:sz w:val="24"/>
          <w:szCs w:val="24"/>
        </w:rPr>
        <w:t>. године, по заказан</w:t>
      </w:r>
      <w:r>
        <w:rPr>
          <w:sz w:val="24"/>
          <w:szCs w:val="24"/>
        </w:rPr>
        <w:t>ој</w:t>
      </w:r>
      <w:r>
        <w:rPr>
          <w:sz w:val="24"/>
          <w:szCs w:val="24"/>
        </w:rPr>
        <w:t xml:space="preserve"> другој продаји </w:t>
      </w:r>
      <w:r>
        <w:rPr>
          <w:sz w:val="24"/>
          <w:szCs w:val="24"/>
        </w:rPr>
        <w:t>покретних</w:t>
      </w:r>
      <w:r>
        <w:rPr>
          <w:sz w:val="24"/>
          <w:szCs w:val="24"/>
        </w:rPr>
        <w:t xml:space="preserve"> ствари извршног дужника</w:t>
      </w:r>
      <w:r>
        <w:rPr>
          <w:sz w:val="24"/>
          <w:szCs w:val="24"/>
        </w:rPr>
        <w:t xml:space="preserve">, није било заинтересованих, што је јавни извршитељ </w:t>
      </w:r>
      <w:r>
        <w:rPr>
          <w:sz w:val="24"/>
          <w:szCs w:val="24"/>
        </w:rPr>
        <w:t>констатовао</w:t>
      </w:r>
      <w:r>
        <w:rPr>
          <w:sz w:val="24"/>
          <w:szCs w:val="24"/>
        </w:rPr>
        <w:t xml:space="preserve"> Записником бр. ИИВ 492/19 од 04.11.2022. године.</w:t>
      </w:r>
    </w:p>
    <w:p w:rsidR="005F7F14" w:rsidRDefault="005D5067">
      <w:pPr>
        <w:pStyle w:val="pStyle2"/>
        <w:rPr>
          <w:sz w:val="24"/>
          <w:szCs w:val="24"/>
        </w:rPr>
      </w:pPr>
      <w:r>
        <w:rPr>
          <w:sz w:val="24"/>
          <w:szCs w:val="24"/>
        </w:rPr>
        <w:t xml:space="preserve">Чланом 243. ЗИО </w:t>
      </w:r>
      <w:r>
        <w:rPr>
          <w:sz w:val="22"/>
          <w:szCs w:val="22"/>
        </w:rPr>
        <w:t>(“Сл. гласник РС”, бр. 106/2015 и 106/2016-</w:t>
      </w:r>
      <w:r>
        <w:rPr>
          <w:sz w:val="22"/>
          <w:szCs w:val="22"/>
        </w:rPr>
        <w:t xml:space="preserve"> аутентично тумачење)</w:t>
      </w:r>
      <w:r>
        <w:rPr>
          <w:sz w:val="24"/>
          <w:szCs w:val="24"/>
        </w:rPr>
        <w:t xml:space="preserve">, прописано је да ако друго јавно надметање не успе, јавни извршитељ одмах позива извршног повериоца да у року од 15 дана изабере намирење продајом ствари непосредном погодбом или преносом права </w:t>
      </w:r>
      <w:r>
        <w:rPr>
          <w:sz w:val="24"/>
          <w:szCs w:val="24"/>
        </w:rPr>
        <w:lastRenderedPageBreak/>
        <w:t>својине на ствари, те да уколико извршни</w:t>
      </w:r>
      <w:r>
        <w:rPr>
          <w:sz w:val="24"/>
          <w:szCs w:val="24"/>
        </w:rPr>
        <w:t xml:space="preserve"> поверилац пропусти рок за избор да се извршни поступак обуставља.</w:t>
      </w:r>
    </w:p>
    <w:p w:rsidR="005F7F14" w:rsidRDefault="005D5067">
      <w:pPr>
        <w:ind w:firstLine="700"/>
        <w:jc w:val="both"/>
      </w:pPr>
      <w:r>
        <w:t>Извршни поверилац је поднеском од 2</w:t>
      </w:r>
      <w:r>
        <w:t>1</w:t>
      </w:r>
      <w:r>
        <w:t>.11.202</w:t>
      </w:r>
      <w:r>
        <w:t>2</w:t>
      </w:r>
      <w:r>
        <w:t>. године предложио јавном извршитељу да се извршном повериоцу</w:t>
      </w:r>
      <w:r>
        <w:t xml:space="preserve"> пренесе право својине на ствари која је била предмет продаје, а укупно дуговање ума</w:t>
      </w:r>
      <w:r>
        <w:t>њи за 50% од утврђене вредности ствари.</w:t>
      </w:r>
    </w:p>
    <w:p w:rsidR="005F7F14" w:rsidRDefault="005D5067">
      <w:pPr>
        <w:ind w:firstLine="700"/>
        <w:jc w:val="both"/>
      </w:pPr>
      <w:r>
        <w:t>Поднеском</w:t>
      </w:r>
      <w:r>
        <w:t xml:space="preserve"> од 30.12.2022. године извршни поверилац је обавестио јавног извршитеља да је дана 23.12.2022. године преузео аутомобил марке “</w:t>
      </w:r>
      <w:r>
        <w:rPr>
          <w:b/>
          <w:bCs/>
        </w:rPr>
        <w:t xml:space="preserve">FIAT PUNTO, </w:t>
      </w:r>
      <w:r>
        <w:t>рег.ознака</w:t>
      </w:r>
      <w:r>
        <w:rPr>
          <w:b/>
          <w:bCs/>
        </w:rPr>
        <w:t xml:space="preserve"> : BU029-CL”.</w:t>
      </w:r>
      <w:bookmarkStart w:id="0" w:name="_GoBack"/>
      <w:bookmarkEnd w:id="0"/>
    </w:p>
    <w:p w:rsidR="005F7F14" w:rsidRDefault="005D5067">
      <w:pPr>
        <w:ind w:firstLine="700"/>
        <w:jc w:val="both"/>
      </w:pPr>
      <w:r>
        <w:t xml:space="preserve">Чланом 248. ЗИО </w:t>
      </w:r>
      <w:r>
        <w:rPr>
          <w:sz w:val="22"/>
          <w:szCs w:val="22"/>
        </w:rPr>
        <w:t>(“Сл. гласник РС”, бр. 106/2</w:t>
      </w:r>
      <w:r>
        <w:rPr>
          <w:sz w:val="22"/>
          <w:szCs w:val="22"/>
        </w:rPr>
        <w:t>015 и 106/2016- аутентично тумачење)</w:t>
      </w:r>
      <w:r>
        <w:t xml:space="preserve"> предвиђено је да ако се уговор о продаји непосредном погодбом по закључку о продаји покретне ствари или по избору извршног повериоца не буде закључен у року, или ако продајна цена не буде плаћена у року, јавни извршитељ</w:t>
      </w:r>
      <w:r>
        <w:t xml:space="preserve"> утврђује да ствар није продата непосредном погодбом по избору извршног повериоца или по закључку о продаји покретне ствари, те да се у свему осталом примењују одредбе о намирењу преносом својине на непокретности.</w:t>
      </w:r>
    </w:p>
    <w:p w:rsidR="005F7F14" w:rsidRDefault="005D5067">
      <w:pPr>
        <w:ind w:firstLine="700"/>
        <w:jc w:val="both"/>
      </w:pPr>
      <w:r>
        <w:t xml:space="preserve"> Чланом 191. ЗИО предвиђено је да се о пре</w:t>
      </w:r>
      <w:r>
        <w:t>носу права својине на непокретности доноси закључак, да се у закључку поред осталог, извршни поверилац обавезује да у одређеном року положи новчани износ потребан да се намире остала лица која имају право на намирење, те да се извршни поверилац коме је пре</w:t>
      </w:r>
      <w:r>
        <w:t>несено право своијине на непокретности сматра намиреним у износу од 50% од процењене вредности непокретности, умањене за новчани износ који је положио за намирење осталих лица која имају право на намирење.</w:t>
      </w:r>
    </w:p>
    <w:p w:rsidR="005F7F14" w:rsidRDefault="005D5067">
      <w:pPr>
        <w:ind w:firstLine="700"/>
        <w:jc w:val="both"/>
      </w:pPr>
      <w:r>
        <w:rPr>
          <w:bCs/>
        </w:rPr>
        <w:t>Имајући изнето у виду, јавни извршитељ је у складу</w:t>
      </w:r>
      <w:r>
        <w:rPr>
          <w:bCs/>
        </w:rPr>
        <w:t xml:space="preserve"> са члановима </w:t>
      </w:r>
      <w:r>
        <w:t>23, 180, 193, 194. 240. 242</w:t>
      </w:r>
      <w:r>
        <w:t>. ЗИО, одлучио као у изреци.</w:t>
      </w:r>
    </w:p>
    <w:p w:rsidR="005F7F14" w:rsidRDefault="005F7F14">
      <w:pPr>
        <w:ind w:firstLine="700"/>
        <w:jc w:val="both"/>
      </w:pPr>
    </w:p>
    <w:p w:rsidR="005F7F14" w:rsidRDefault="005F7F14"/>
    <w:tbl>
      <w:tblPr>
        <w:tblStyle w:val="ede081fd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9"/>
        <w:gridCol w:w="1133"/>
        <w:gridCol w:w="3401"/>
      </w:tblGrid>
      <w:tr w:rsidR="005F7F14">
        <w:trPr>
          <w:trHeight w:val="14"/>
        </w:trPr>
        <w:tc>
          <w:tcPr>
            <w:tcW w:w="5669" w:type="dxa"/>
          </w:tcPr>
          <w:p w:rsidR="005F7F14" w:rsidRDefault="005D5067">
            <w:pPr>
              <w:pStyle w:val="pStyl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Поука о правном леку: </w:t>
            </w:r>
          </w:p>
          <w:p w:rsidR="005F7F14" w:rsidRDefault="005D5067">
            <w:pPr>
              <w:pStyle w:val="pSty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 овог закључка није дозвољен приговор.</w:t>
            </w:r>
          </w:p>
          <w:p w:rsidR="005F7F14" w:rsidRDefault="005F7F14">
            <w:pPr>
              <w:pStyle w:val="leftaligned"/>
            </w:pPr>
          </w:p>
        </w:tc>
        <w:tc>
          <w:tcPr>
            <w:tcW w:w="1133" w:type="dxa"/>
          </w:tcPr>
          <w:p w:rsidR="005F7F14" w:rsidRDefault="005F7F14">
            <w:pPr>
              <w:pStyle w:val="leftaligned"/>
            </w:pPr>
          </w:p>
        </w:tc>
        <w:tc>
          <w:tcPr>
            <w:tcW w:w="3401" w:type="dxa"/>
          </w:tcPr>
          <w:p w:rsidR="005F7F14" w:rsidRDefault="005D5067">
            <w:pPr>
              <w:pStyle w:val="centeraligned"/>
            </w:pPr>
            <w:r>
              <w:rPr>
                <w:b/>
                <w:bCs/>
              </w:rPr>
              <w:t>ЈАВНИ ИЗВРШИТЕЉ</w:t>
            </w:r>
          </w:p>
          <w:p w:rsidR="005F7F14" w:rsidRDefault="005F7F14">
            <w:pPr>
              <w:pStyle w:val="centeraligned"/>
            </w:pPr>
          </w:p>
          <w:p w:rsidR="005F7F14" w:rsidRDefault="005D5067">
            <w:pPr>
              <w:pStyle w:val="centeraligned"/>
            </w:pPr>
            <w:r>
              <w:t>__________________</w:t>
            </w:r>
          </w:p>
          <w:p w:rsidR="005F7F14" w:rsidRDefault="005D5067">
            <w:pPr>
              <w:pStyle w:val="centeraligned"/>
            </w:pPr>
            <w:r>
              <w:t>др Жарко Димитријевић</w:t>
            </w:r>
          </w:p>
        </w:tc>
      </w:tr>
    </w:tbl>
    <w:p w:rsidR="005F7F14" w:rsidRDefault="005F7F14"/>
    <w:sectPr w:rsidR="005F7F14" w:rsidSect="005F7F14">
      <w:pgSz w:w="11905" w:h="16837"/>
      <w:pgMar w:top="873" w:right="873" w:bottom="873" w:left="87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067" w:rsidRDefault="005D5067" w:rsidP="005F7F14">
      <w:r>
        <w:separator/>
      </w:r>
    </w:p>
  </w:endnote>
  <w:endnote w:type="continuationSeparator" w:id="1">
    <w:p w:rsidR="005D5067" w:rsidRDefault="005D5067" w:rsidP="005F7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067" w:rsidRDefault="005D5067">
      <w:r>
        <w:separator/>
      </w:r>
    </w:p>
  </w:footnote>
  <w:footnote w:type="continuationSeparator" w:id="1">
    <w:p w:rsidR="005D5067" w:rsidRDefault="005D50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D6D4E1"/>
    <w:multiLevelType w:val="singleLevel"/>
    <w:tmpl w:val="EDD6D4E1"/>
    <w:lvl w:ilvl="0">
      <w:start w:val="1"/>
      <w:numFmt w:val="decimal"/>
      <w:suff w:val="space"/>
      <w:lvlText w:val="%1."/>
      <w:lvlJc w:val="left"/>
      <w:pPr>
        <w:ind w:left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F14"/>
    <w:rsid w:val="003C17AC"/>
    <w:rsid w:val="005D5067"/>
    <w:rsid w:val="005F7F14"/>
    <w:rsid w:val="7D3C7C5E"/>
    <w:rsid w:val="BFEF5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F14"/>
    <w:rPr>
      <w:sz w:val="24"/>
      <w:szCs w:val="24"/>
    </w:rPr>
  </w:style>
  <w:style w:type="paragraph" w:styleId="Heading1">
    <w:name w:val="heading 1"/>
    <w:basedOn w:val="Normal"/>
    <w:next w:val="Normal"/>
    <w:qFormat/>
    <w:rsid w:val="005F7F14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qFormat/>
    <w:rsid w:val="005F7F14"/>
    <w:rPr>
      <w:vertAlign w:val="superscript"/>
    </w:rPr>
  </w:style>
  <w:style w:type="paragraph" w:customStyle="1" w:styleId="indented">
    <w:name w:val="indented"/>
    <w:basedOn w:val="Normal"/>
    <w:qFormat/>
    <w:rsid w:val="005F7F14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rsid w:val="005F7F14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qFormat/>
    <w:rsid w:val="005F7F14"/>
    <w:pPr>
      <w:spacing w:before="100" w:after="100"/>
      <w:jc w:val="both"/>
    </w:pPr>
  </w:style>
  <w:style w:type="paragraph" w:customStyle="1" w:styleId="leftaligned">
    <w:name w:val="left_aligned"/>
    <w:basedOn w:val="Normal"/>
    <w:qFormat/>
    <w:rsid w:val="005F7F14"/>
  </w:style>
  <w:style w:type="paragraph" w:customStyle="1" w:styleId="rightaligned">
    <w:name w:val="right_aligned"/>
    <w:basedOn w:val="Normal"/>
    <w:qFormat/>
    <w:rsid w:val="005F7F14"/>
    <w:pPr>
      <w:jc w:val="right"/>
    </w:pPr>
  </w:style>
  <w:style w:type="paragraph" w:customStyle="1" w:styleId="centeraligned">
    <w:name w:val="center_aligned"/>
    <w:basedOn w:val="Normal"/>
    <w:qFormat/>
    <w:rsid w:val="005F7F14"/>
    <w:pPr>
      <w:jc w:val="center"/>
    </w:pPr>
  </w:style>
  <w:style w:type="paragraph" w:customStyle="1" w:styleId="justify">
    <w:name w:val="justify"/>
    <w:basedOn w:val="Normal"/>
    <w:qFormat/>
    <w:rsid w:val="005F7F14"/>
    <w:pPr>
      <w:jc w:val="both"/>
    </w:pPr>
  </w:style>
  <w:style w:type="paragraph" w:customStyle="1" w:styleId="Header1">
    <w:name w:val="Header1"/>
    <w:basedOn w:val="Normal"/>
    <w:qFormat/>
    <w:rsid w:val="005F7F14"/>
    <w:pPr>
      <w:ind w:right="5000"/>
    </w:pPr>
  </w:style>
  <w:style w:type="paragraph" w:customStyle="1" w:styleId="heading11">
    <w:name w:val="heading 11"/>
    <w:basedOn w:val="Normal"/>
    <w:qFormat/>
    <w:rsid w:val="005F7F14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qFormat/>
    <w:rsid w:val="005F7F14"/>
    <w:pPr>
      <w:jc w:val="center"/>
    </w:pPr>
    <w:rPr>
      <w:b/>
      <w:bCs/>
    </w:rPr>
  </w:style>
  <w:style w:type="paragraph" w:customStyle="1" w:styleId="heading13">
    <w:name w:val="heading 13"/>
    <w:basedOn w:val="Normal"/>
    <w:qFormat/>
    <w:rsid w:val="005F7F14"/>
    <w:pPr>
      <w:spacing w:after="200"/>
      <w:jc w:val="center"/>
    </w:pPr>
    <w:rPr>
      <w:b/>
      <w:bCs/>
    </w:rPr>
  </w:style>
  <w:style w:type="table" w:customStyle="1" w:styleId="ce8d81">
    <w:name w:val="ce8d81"/>
    <w:uiPriority w:val="99"/>
    <w:qFormat/>
    <w:rsid w:val="005F7F1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de081fd">
    <w:name w:val="ede081fd"/>
    <w:uiPriority w:val="99"/>
    <w:qFormat/>
    <w:rsid w:val="005F7F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">
    <w:name w:val="pStyle"/>
    <w:qFormat/>
    <w:rsid w:val="005F7F14"/>
    <w:pPr>
      <w:jc w:val="both"/>
    </w:pPr>
  </w:style>
  <w:style w:type="paragraph" w:customStyle="1" w:styleId="pStyle2">
    <w:name w:val="pStyle2"/>
    <w:qFormat/>
    <w:rsid w:val="005F7F14"/>
    <w:pPr>
      <w:ind w:firstLine="720"/>
      <w:jc w:val="both"/>
    </w:pPr>
  </w:style>
  <w:style w:type="paragraph" w:customStyle="1" w:styleId="pStyle3">
    <w:name w:val="pStyle3"/>
    <w:qFormat/>
    <w:rsid w:val="005F7F14"/>
    <w:pPr>
      <w:jc w:val="center"/>
    </w:pPr>
  </w:style>
  <w:style w:type="paragraph" w:styleId="BalloonText">
    <w:name w:val="Balloon Text"/>
    <w:basedOn w:val="Normal"/>
    <w:link w:val="BalloonTextChar"/>
    <w:rsid w:val="003C1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1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Gudici</cp:lastModifiedBy>
  <cp:revision>1</cp:revision>
  <dcterms:created xsi:type="dcterms:W3CDTF">2023-01-10T14:15:00Z</dcterms:created>
  <dcterms:modified xsi:type="dcterms:W3CDTF">2023-01-10T14:16:00Z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